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D033" w14:textId="77777777"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78DFDEEF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3F786FAF" w14:textId="77777777"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0A6165F8" w14:textId="77777777" w:rsidR="005F4A8B" w:rsidRDefault="00405F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ru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33.5pt;height:158.25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Айла Вольф (Ayla Wolf)</w:t>
                  </w:r>
                </w:p>
                <w:p w14:paraId="3354AF29" w14:textId="77777777" w:rsidR="007C174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14:paraId="52D09840" w14:textId="77777777" w:rsidR="00FD6A46" w:rsidRP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76DBFB8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Корпоративные коммуникации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1D671E4A" w14:textId="77777777" w:rsidR="005F4A8B" w:rsidRDefault="00106D18" w:rsidP="007A7865">
                  <w:pPr>
                    <w:tabs>
                      <w:tab w:val="left" w:pos="720"/>
                      <w:tab w:val="left" w:pos="144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Телефон +49 (0) 9341 86-2321</w:t>
                  </w:r>
                </w:p>
                <w:p w14:paraId="1801AD11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Ayla.Wolf@weinig.com</w:t>
                  </w:r>
                </w:p>
                <w:p w14:paraId="135910C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1D854993" w14:textId="25D2BCF3" w:rsidR="005F4A8B" w:rsidRPr="00CB2A23" w:rsidRDefault="003B442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Ноябрь 2021 г.</w:t>
                  </w:r>
                </w:p>
                <w:p w14:paraId="1D644A4C" w14:textId="77777777" w:rsidR="005F4A8B" w:rsidRPr="00531767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2B82FA6F" w14:textId="77777777" w:rsidR="005F4A8B" w:rsidRPr="00531767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ACE5056" w14:textId="77777777" w:rsidR="005F4A8B" w:rsidRDefault="005F4A8B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14:paraId="37ECCF2E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59182F4" w14:textId="77777777"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ПРЕСС-РЕЛИЗ</w:t>
      </w:r>
    </w:p>
    <w:p w14:paraId="4A59BCC2" w14:textId="77777777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6FAB2A74" w14:textId="77777777" w:rsidR="005F4A8B" w:rsidRPr="008143B1" w:rsidRDefault="005F4A8B">
      <w:pPr>
        <w:tabs>
          <w:tab w:val="left" w:pos="7875"/>
        </w:tabs>
        <w:ind w:right="-1"/>
        <w:jc w:val="both"/>
        <w:rPr>
          <w:rFonts w:ascii="Arial" w:hAnsi="Arial" w:cs="Arial"/>
          <w:b/>
          <w:bCs/>
          <w:sz w:val="22"/>
        </w:rPr>
      </w:pPr>
    </w:p>
    <w:p w14:paraId="14888507" w14:textId="77777777" w:rsidR="005F4A8B" w:rsidRPr="008143B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bCs/>
          <w:sz w:val="32"/>
          <w:szCs w:val="32"/>
        </w:rPr>
      </w:pPr>
    </w:p>
    <w:p w14:paraId="54640BC6" w14:textId="77777777" w:rsidR="005F4A8B" w:rsidRPr="008143B1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bCs/>
          <w:sz w:val="32"/>
          <w:szCs w:val="3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77777777" w:rsidR="003B4420" w:rsidRPr="003B4420" w:rsidRDefault="003B4420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val="ru"/>
        </w:rPr>
        <w:t>WEINIG запускает инновационный проект Woodworking-as-a-Service в сотрудничестве с тремя партнерами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5B000FCE" w14:textId="611778DB" w:rsidR="003B4420" w:rsidRPr="00405F0F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ru"/>
        </w:rPr>
      </w:pPr>
      <w:r>
        <w:rPr>
          <w:rFonts w:ascii="Arial" w:eastAsia="Calibri" w:hAnsi="Arial" w:cs="Arial"/>
          <w:b/>
          <w:bCs/>
          <w:lang w:val="ru"/>
        </w:rPr>
        <w:t>Больше гибкости при изменениях на рынке и колебаниях конъюнктуры, а также доступ к новейшим технологиям. Именно это обещает новая бизнес-модель Woodworking-as-a-Service, внедрение которой запланировано в течение следующих двух лет. В будущем это позволит клиентам оплачивать станок согласно его фактическому использованию. Это означает, что станок не приобретается за однократно выплаченную сумму X, а что заказчики получают станок, счет по которому регулярно выставляется с учетом его рабочей загрузки. Таким образом, в качестве бизнес-модели теперь на переднем плане находится не сам станок, а его производительность, выход продукции, готовность к работе и предлагаемый сервис, который гарантирует все указанное.</w:t>
      </w:r>
    </w:p>
    <w:p w14:paraId="2C6B399D" w14:textId="77777777" w:rsidR="003B4420" w:rsidRPr="00405F0F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ru"/>
        </w:rPr>
      </w:pPr>
      <w:r>
        <w:rPr>
          <w:rFonts w:ascii="Arial" w:eastAsia="Calibri" w:hAnsi="Arial" w:cs="Arial"/>
          <w:lang w:val="ru"/>
        </w:rPr>
        <w:t>В рамках программы поддержки InvestBW федеральной земли Баден-Вюртемберг группе WEINIG было одобрено финансирование инновационной бизнес-модели Woodworking-as-a-Service (деревообработка как услуга). В данном случае компании, расположенные в Баден-Вюртемберге, получают финансирование на свои проекты в области технологических исследований и разработок, направленных на создание новых бизнес-моделей и услуг на основе данных (так называемых «умных сервисов», анг. smart services).</w:t>
      </w:r>
    </w:p>
    <w:p w14:paraId="288E0577" w14:textId="77777777" w:rsidR="003B4420" w:rsidRPr="00405F0F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ru"/>
        </w:rPr>
      </w:pPr>
      <w:r>
        <w:rPr>
          <w:rFonts w:ascii="Arial" w:eastAsia="Calibri" w:hAnsi="Arial" w:cs="Arial"/>
          <w:lang w:val="ru"/>
        </w:rPr>
        <w:t xml:space="preserve">В ходе этого проекта WEINIG будет сотрудничать с Институтом машиностроения и автоматизации им. Фраунгофера (IPA), а также с </w:t>
      </w:r>
      <w:r>
        <w:rPr>
          <w:rFonts w:ascii="Arial" w:eastAsia="Calibri" w:hAnsi="Arial" w:cs="Arial"/>
          <w:lang w:val="ru"/>
        </w:rPr>
        <w:lastRenderedPageBreak/>
        <w:t>компаниями Roth Steuerungstechnik и Hogra-Holz. В процессе работы Институт им. Фраунгофера, находящийся в Штутгарте, предоставит консорциуму поддержку в виде новейших научных методик и своего опыта в области бизнес-моделирования. Компания Roth Steuerungstechnik из Биллигхайма, специализирующаяся на программном обеспечении, обеспечит важный вклад в общую деятельность посредством разработки технических возможностей для внедрения такого сервиса. Особую гордость, по словам Йохена Ганца, руководителя отдела New Business &amp; Innovation в группе Weinig, вызывает участие компании Hogra-Holz из Лимбаха, выступающей в качестве пилотного клиента. Ее участие позволит разработать бизнес-модель, соответствующую требованиям заказчика, в которую можно будет с самого начала интегрировать все пожелания, важные с точки зрения клиента.</w:t>
      </w:r>
    </w:p>
    <w:p w14:paraId="6B74805E" w14:textId="77777777" w:rsidR="003B4420" w:rsidRPr="00405F0F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ru"/>
        </w:rPr>
      </w:pPr>
      <w:r>
        <w:rPr>
          <w:rFonts w:ascii="Arial" w:eastAsia="Calibri" w:hAnsi="Arial" w:cs="Arial"/>
          <w:lang w:val="ru"/>
        </w:rPr>
        <w:t xml:space="preserve">Проект уже официально начал свою работу. В ходе совещания с партнерами был окончательно утвержден план проекта, а также распределены сферы ответственности и рабочие объемы. Юлиан Гейзельхардт, менеджер по инновациям и руководитель проекта Woodworking-as-a-Service, сообщил о том, что в дальнейшем участники будут регулярно информировать о ходе проекта, что позволит обеспечить его полную прозрачность. </w:t>
      </w:r>
    </w:p>
    <w:p w14:paraId="6F6D83B1" w14:textId="77777777" w:rsidR="003B4420" w:rsidRPr="00405F0F" w:rsidRDefault="003B4420" w:rsidP="003B4420">
      <w:pPr>
        <w:spacing w:after="160" w:line="360" w:lineRule="auto"/>
        <w:jc w:val="both"/>
        <w:rPr>
          <w:rFonts w:ascii="Arial" w:eastAsia="Calibri" w:hAnsi="Arial" w:cs="Arial"/>
          <w:lang w:val="ru"/>
        </w:rPr>
      </w:pPr>
      <w:r>
        <w:rPr>
          <w:rFonts w:ascii="Arial" w:eastAsia="Calibri" w:hAnsi="Arial" w:cs="Arial"/>
          <w:lang w:val="ru"/>
        </w:rPr>
        <w:t>Концентрируясь на расширении интеллектуальных и цифровых бизнес-моделей, группа WEINIG вновь подтверждает свою репутацию в качестве настоящего драйвера инноваций.</w:t>
      </w:r>
    </w:p>
    <w:p w14:paraId="36CDCED3" w14:textId="773DF2E0" w:rsidR="00730250" w:rsidRDefault="003B4420" w:rsidP="003B4420">
      <w:pPr>
        <w:spacing w:after="160" w:line="360" w:lineRule="auto"/>
        <w:jc w:val="both"/>
        <w:rPr>
          <w:rFonts w:ascii="Arial" w:eastAsia="Calibri" w:hAnsi="Arial" w:cs="Arial"/>
          <w:color w:val="0563C1"/>
          <w:u w:val="single"/>
          <w:lang w:val="ru"/>
        </w:rPr>
      </w:pPr>
      <w:r>
        <w:rPr>
          <w:rFonts w:ascii="Arial" w:eastAsia="Calibri" w:hAnsi="Arial" w:cs="Arial"/>
          <w:lang w:val="ru"/>
        </w:rPr>
        <w:t xml:space="preserve">В рамках мероприятия Solid Wood Summit, организуемому группой WEINIG, проекту Woodworking-as-a-Service будет посвящен отдельный тематический блок. Помимо сведений о самой бизнес-модели эксперты, выступающие от лица партнеров по проекту, также предоставят возможность ознакомится с расширенной информацией. Вы можете воспользоваться следующей ссылкой, чтобы зарегистрироваться для бесплатного участия: </w:t>
      </w:r>
      <w:r w:rsidR="00405F0F">
        <w:fldChar w:fldCharType="begin"/>
      </w:r>
      <w:r w:rsidR="00405F0F" w:rsidRPr="00405F0F">
        <w:rPr>
          <w:lang w:val="ru"/>
        </w:rPr>
        <w:instrText xml:space="preserve"> </w:instrText>
      </w:r>
      <w:r w:rsidR="00405F0F">
        <w:instrText>HYPERLINK</w:instrText>
      </w:r>
      <w:r w:rsidR="00405F0F" w:rsidRPr="00405F0F">
        <w:rPr>
          <w:lang w:val="ru"/>
        </w:rPr>
        <w:instrText xml:space="preserve"> "</w:instrText>
      </w:r>
      <w:r w:rsidR="00405F0F">
        <w:instrText>https</w:instrText>
      </w:r>
      <w:r w:rsidR="00405F0F" w:rsidRPr="00405F0F">
        <w:rPr>
          <w:lang w:val="ru"/>
        </w:rPr>
        <w:instrText>://</w:instrText>
      </w:r>
      <w:r w:rsidR="00405F0F">
        <w:instrText>experience</w:instrText>
      </w:r>
      <w:r w:rsidR="00405F0F" w:rsidRPr="00405F0F">
        <w:rPr>
          <w:lang w:val="ru"/>
        </w:rPr>
        <w:instrText>.</w:instrText>
      </w:r>
      <w:r w:rsidR="00405F0F">
        <w:instrText>weinig</w:instrText>
      </w:r>
      <w:r w:rsidR="00405F0F" w:rsidRPr="00405F0F">
        <w:rPr>
          <w:lang w:val="ru"/>
        </w:rPr>
        <w:instrText>.</w:instrText>
      </w:r>
      <w:r w:rsidR="00405F0F">
        <w:instrText>com</w:instrText>
      </w:r>
      <w:r w:rsidR="00405F0F" w:rsidRPr="00405F0F">
        <w:rPr>
          <w:lang w:val="ru"/>
        </w:rPr>
        <w:instrText>/</w:instrText>
      </w:r>
      <w:r w:rsidR="00405F0F">
        <w:instrText>eventplan</w:instrText>
      </w:r>
      <w:r w:rsidR="00405F0F" w:rsidRPr="00405F0F">
        <w:rPr>
          <w:lang w:val="ru"/>
        </w:rPr>
        <w:instrText>/</w:instrText>
      </w:r>
      <w:r w:rsidR="00405F0F">
        <w:instrText>detail</w:instrText>
      </w:r>
      <w:r w:rsidR="00405F0F" w:rsidRPr="00405F0F">
        <w:rPr>
          <w:lang w:val="ru"/>
        </w:rPr>
        <w:instrText>/</w:instrText>
      </w:r>
      <w:r w:rsidR="00405F0F">
        <w:instrText>woodworking</w:instrText>
      </w:r>
      <w:r w:rsidR="00405F0F" w:rsidRPr="00405F0F">
        <w:rPr>
          <w:lang w:val="ru"/>
        </w:rPr>
        <w:instrText>-</w:instrText>
      </w:r>
      <w:r w:rsidR="00405F0F">
        <w:instrText>as</w:instrText>
      </w:r>
      <w:r w:rsidR="00405F0F" w:rsidRPr="00405F0F">
        <w:rPr>
          <w:lang w:val="ru"/>
        </w:rPr>
        <w:instrText>-</w:instrText>
      </w:r>
      <w:r w:rsidR="00405F0F">
        <w:instrText>a</w:instrText>
      </w:r>
      <w:r w:rsidR="00405F0F" w:rsidRPr="00405F0F">
        <w:rPr>
          <w:lang w:val="ru"/>
        </w:rPr>
        <w:instrText>-</w:instrText>
      </w:r>
      <w:r w:rsidR="00405F0F">
        <w:instrText>service</w:instrText>
      </w:r>
      <w:r w:rsidR="00405F0F" w:rsidRPr="00405F0F">
        <w:rPr>
          <w:lang w:val="ru"/>
        </w:rPr>
        <w:instrText xml:space="preserve">" </w:instrText>
      </w:r>
      <w:r w:rsidR="00405F0F">
        <w:fldChar w:fldCharType="separate"/>
      </w:r>
      <w:r>
        <w:rPr>
          <w:rFonts w:ascii="Arial" w:eastAsia="Calibri" w:hAnsi="Arial" w:cs="Arial"/>
          <w:color w:val="0563C1"/>
          <w:u w:val="single"/>
          <w:lang w:val="ru"/>
        </w:rPr>
        <w:t>https://experience.weinig.com/eventplan/detail/woodworking-as-a-service</w:t>
      </w:r>
      <w:r w:rsidR="00405F0F">
        <w:rPr>
          <w:rFonts w:ascii="Arial" w:eastAsia="Calibri" w:hAnsi="Arial" w:cs="Arial"/>
          <w:color w:val="0563C1"/>
          <w:u w:val="single"/>
          <w:lang w:val="ru"/>
        </w:rPr>
        <w:fldChar w:fldCharType="end"/>
      </w:r>
    </w:p>
    <w:p w14:paraId="5635993C" w14:textId="77777777" w:rsidR="00405F0F" w:rsidRDefault="00405F0F" w:rsidP="003B4420">
      <w:pPr>
        <w:spacing w:after="160" w:line="360" w:lineRule="auto"/>
        <w:jc w:val="both"/>
        <w:rPr>
          <w:rFonts w:ascii="Arial" w:hAnsi="Arial"/>
        </w:rPr>
      </w:pPr>
    </w:p>
    <w:p w14:paraId="1E9B72BD" w14:textId="61446E48" w:rsidR="00405F0F" w:rsidRPr="00405F0F" w:rsidRDefault="00405F0F" w:rsidP="003B4420">
      <w:pPr>
        <w:spacing w:after="160" w:line="360" w:lineRule="auto"/>
        <w:jc w:val="both"/>
        <w:rPr>
          <w:rFonts w:ascii="Arial" w:hAnsi="Arial"/>
          <w:lang w:val="ru"/>
        </w:rPr>
      </w:pPr>
      <w:proofErr w:type="spellStart"/>
      <w:r w:rsidRPr="009366EF">
        <w:rPr>
          <w:rFonts w:ascii="Arial" w:hAnsi="Arial"/>
        </w:rPr>
        <w:t>Photo</w:t>
      </w:r>
      <w:proofErr w:type="spellEnd"/>
      <w:r w:rsidRPr="00405F0F">
        <w:rPr>
          <w:rFonts w:ascii="Arial" w:hAnsi="Arial"/>
          <w:lang w:val="ru"/>
        </w:rPr>
        <w:t xml:space="preserve">: </w:t>
      </w:r>
      <w:r w:rsidRPr="009366EF">
        <w:rPr>
          <w:rFonts w:ascii="Arial" w:hAnsi="Arial"/>
        </w:rPr>
        <w:t>Jochen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Ganz</w:t>
      </w:r>
      <w:r w:rsidRPr="00405F0F">
        <w:rPr>
          <w:rFonts w:ascii="Arial" w:hAnsi="Arial"/>
          <w:lang w:val="ru"/>
        </w:rPr>
        <w:t xml:space="preserve"> (</w:t>
      </w:r>
      <w:r w:rsidRPr="009366EF">
        <w:rPr>
          <w:rFonts w:ascii="Arial" w:hAnsi="Arial"/>
        </w:rPr>
        <w:t>WEINIG</w:t>
      </w:r>
      <w:r w:rsidRPr="00405F0F">
        <w:rPr>
          <w:rFonts w:ascii="Arial" w:hAnsi="Arial"/>
          <w:lang w:val="ru"/>
        </w:rPr>
        <w:t xml:space="preserve">), </w:t>
      </w:r>
      <w:r w:rsidRPr="009366EF">
        <w:rPr>
          <w:rFonts w:ascii="Arial" w:hAnsi="Arial"/>
        </w:rPr>
        <w:t>Gregor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Baumbusch</w:t>
      </w:r>
      <w:r w:rsidRPr="00405F0F">
        <w:rPr>
          <w:rFonts w:ascii="Arial" w:hAnsi="Arial"/>
          <w:lang w:val="ru"/>
        </w:rPr>
        <w:t xml:space="preserve"> (</w:t>
      </w:r>
      <w:r w:rsidRPr="009366EF">
        <w:rPr>
          <w:rFonts w:ascii="Arial" w:hAnsi="Arial"/>
        </w:rPr>
        <w:t>CEO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WEINIG</w:t>
      </w:r>
      <w:r w:rsidRPr="00405F0F">
        <w:rPr>
          <w:rFonts w:ascii="Arial" w:hAnsi="Arial"/>
          <w:lang w:val="ru"/>
        </w:rPr>
        <w:t xml:space="preserve">), </w:t>
      </w:r>
      <w:r w:rsidRPr="009366EF">
        <w:rPr>
          <w:rFonts w:ascii="Arial" w:hAnsi="Arial"/>
        </w:rPr>
        <w:t>Julian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Geiselhardt</w:t>
      </w:r>
      <w:r w:rsidRPr="00405F0F">
        <w:rPr>
          <w:rFonts w:ascii="Arial" w:hAnsi="Arial"/>
          <w:lang w:val="ru"/>
        </w:rPr>
        <w:t xml:space="preserve"> (</w:t>
      </w:r>
      <w:r w:rsidRPr="009366EF">
        <w:rPr>
          <w:rFonts w:ascii="Arial" w:hAnsi="Arial"/>
        </w:rPr>
        <w:t>WEINIG</w:t>
      </w:r>
      <w:r w:rsidRPr="00405F0F">
        <w:rPr>
          <w:rFonts w:ascii="Arial" w:hAnsi="Arial"/>
          <w:lang w:val="ru"/>
        </w:rPr>
        <w:t xml:space="preserve">), </w:t>
      </w:r>
      <w:r w:rsidRPr="009366EF">
        <w:rPr>
          <w:rFonts w:ascii="Arial" w:hAnsi="Arial"/>
        </w:rPr>
        <w:t>Felix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Gramlich</w:t>
      </w:r>
      <w:r w:rsidRPr="00405F0F">
        <w:rPr>
          <w:rFonts w:ascii="Arial" w:hAnsi="Arial"/>
          <w:lang w:val="ru"/>
        </w:rPr>
        <w:t xml:space="preserve"> (</w:t>
      </w:r>
      <w:proofErr w:type="spellStart"/>
      <w:r w:rsidRPr="009366EF">
        <w:rPr>
          <w:rFonts w:ascii="Arial" w:hAnsi="Arial"/>
        </w:rPr>
        <w:t>Hogra</w:t>
      </w:r>
      <w:proofErr w:type="spellEnd"/>
      <w:r w:rsidRPr="00405F0F">
        <w:rPr>
          <w:rFonts w:ascii="Arial" w:hAnsi="Arial"/>
          <w:lang w:val="ru"/>
        </w:rPr>
        <w:t>-</w:t>
      </w:r>
      <w:r w:rsidRPr="009366EF">
        <w:rPr>
          <w:rFonts w:ascii="Arial" w:hAnsi="Arial"/>
        </w:rPr>
        <w:t>Holz</w:t>
      </w:r>
      <w:r w:rsidRPr="00405F0F">
        <w:rPr>
          <w:rFonts w:ascii="Arial" w:hAnsi="Arial"/>
          <w:lang w:val="ru"/>
        </w:rPr>
        <w:t xml:space="preserve">), </w:t>
      </w:r>
      <w:r w:rsidRPr="009366EF">
        <w:rPr>
          <w:rFonts w:ascii="Arial" w:hAnsi="Arial"/>
        </w:rPr>
        <w:t>Oliver</w:t>
      </w:r>
      <w:r w:rsidRPr="00405F0F">
        <w:rPr>
          <w:rFonts w:ascii="Arial" w:hAnsi="Arial"/>
          <w:lang w:val="ru"/>
        </w:rPr>
        <w:t xml:space="preserve"> </w:t>
      </w:r>
      <w:proofErr w:type="spellStart"/>
      <w:r w:rsidRPr="009366EF">
        <w:rPr>
          <w:rFonts w:ascii="Arial" w:hAnsi="Arial"/>
        </w:rPr>
        <w:t>Sch</w:t>
      </w:r>
      <w:proofErr w:type="spellEnd"/>
      <w:r w:rsidRPr="00405F0F">
        <w:rPr>
          <w:rFonts w:ascii="Arial" w:hAnsi="Arial"/>
          <w:lang w:val="ru"/>
        </w:rPr>
        <w:t>ö</w:t>
      </w:r>
      <w:proofErr w:type="spellStart"/>
      <w:r w:rsidRPr="009366EF">
        <w:rPr>
          <w:rFonts w:ascii="Arial" w:hAnsi="Arial"/>
        </w:rPr>
        <w:t>llhammer</w:t>
      </w:r>
      <w:proofErr w:type="spellEnd"/>
      <w:r w:rsidRPr="00405F0F">
        <w:rPr>
          <w:rFonts w:ascii="Arial" w:hAnsi="Arial"/>
          <w:lang w:val="ru"/>
        </w:rPr>
        <w:t xml:space="preserve"> (</w:t>
      </w:r>
      <w:r w:rsidRPr="009366EF">
        <w:rPr>
          <w:rFonts w:ascii="Arial" w:hAnsi="Arial"/>
        </w:rPr>
        <w:t>Fraunhofer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IPA</w:t>
      </w:r>
      <w:r w:rsidRPr="00405F0F">
        <w:rPr>
          <w:rFonts w:ascii="Arial" w:hAnsi="Arial"/>
          <w:lang w:val="ru"/>
        </w:rPr>
        <w:t xml:space="preserve">), </w:t>
      </w:r>
      <w:r w:rsidRPr="009366EF">
        <w:rPr>
          <w:rFonts w:ascii="Arial" w:hAnsi="Arial"/>
        </w:rPr>
        <w:t>Armin</w:t>
      </w:r>
      <w:r w:rsidRPr="00405F0F">
        <w:rPr>
          <w:rFonts w:ascii="Arial" w:hAnsi="Arial"/>
          <w:lang w:val="ru"/>
        </w:rPr>
        <w:t xml:space="preserve"> </w:t>
      </w:r>
      <w:r w:rsidRPr="009366EF">
        <w:rPr>
          <w:rFonts w:ascii="Arial" w:hAnsi="Arial"/>
        </w:rPr>
        <w:t>Roth</w:t>
      </w:r>
      <w:r w:rsidRPr="00405F0F">
        <w:rPr>
          <w:rFonts w:ascii="Arial" w:hAnsi="Arial"/>
          <w:lang w:val="ru"/>
        </w:rPr>
        <w:t xml:space="preserve"> (</w:t>
      </w:r>
      <w:r w:rsidRPr="009366EF">
        <w:rPr>
          <w:rFonts w:ascii="Arial" w:hAnsi="Arial"/>
        </w:rPr>
        <w:t>R</w:t>
      </w:r>
      <w:r>
        <w:rPr>
          <w:rFonts w:ascii="Arial" w:hAnsi="Arial"/>
        </w:rPr>
        <w:t>oth</w:t>
      </w:r>
      <w:r w:rsidRPr="00405F0F">
        <w:rPr>
          <w:rFonts w:ascii="Arial" w:hAnsi="Arial"/>
          <w:lang w:val="ru"/>
        </w:rPr>
        <w:t xml:space="preserve"> </w:t>
      </w:r>
      <w:r>
        <w:rPr>
          <w:rFonts w:ascii="Arial" w:hAnsi="Arial"/>
        </w:rPr>
        <w:t>Gruppe</w:t>
      </w:r>
      <w:r w:rsidRPr="00405F0F">
        <w:rPr>
          <w:rFonts w:ascii="Arial" w:hAnsi="Arial"/>
          <w:lang w:val="ru"/>
        </w:rPr>
        <w:t xml:space="preserve">), </w:t>
      </w:r>
      <w:r>
        <w:rPr>
          <w:rFonts w:ascii="Arial" w:hAnsi="Arial"/>
        </w:rPr>
        <w:t>Philipp</w:t>
      </w:r>
      <w:r w:rsidRPr="00405F0F">
        <w:rPr>
          <w:rFonts w:ascii="Arial" w:hAnsi="Arial"/>
          <w:lang w:val="ru"/>
        </w:rPr>
        <w:t xml:space="preserve"> </w:t>
      </w:r>
      <w:r>
        <w:rPr>
          <w:rFonts w:ascii="Arial" w:hAnsi="Arial"/>
        </w:rPr>
        <w:t>Klopf</w:t>
      </w:r>
      <w:r w:rsidRPr="00405F0F">
        <w:rPr>
          <w:rFonts w:ascii="Arial" w:hAnsi="Arial"/>
          <w:lang w:val="ru"/>
        </w:rPr>
        <w:t xml:space="preserve"> (</w:t>
      </w:r>
      <w:r>
        <w:rPr>
          <w:rFonts w:ascii="Arial" w:hAnsi="Arial"/>
        </w:rPr>
        <w:t>WEINIG</w:t>
      </w:r>
      <w:r w:rsidRPr="00405F0F">
        <w:rPr>
          <w:rFonts w:ascii="Arial" w:hAnsi="Arial"/>
          <w:lang w:val="ru"/>
        </w:rPr>
        <w:t xml:space="preserve">), </w:t>
      </w:r>
      <w:proofErr w:type="spellStart"/>
      <w:r>
        <w:rPr>
          <w:rFonts w:ascii="Arial" w:hAnsi="Arial"/>
        </w:rPr>
        <w:t>Dr</w:t>
      </w:r>
      <w:proofErr w:type="spellEnd"/>
      <w:r w:rsidRPr="00405F0F">
        <w:rPr>
          <w:rFonts w:ascii="Arial" w:hAnsi="Arial"/>
          <w:lang w:val="ru"/>
        </w:rPr>
        <w:t xml:space="preserve">. </w:t>
      </w:r>
      <w:r>
        <w:rPr>
          <w:rFonts w:ascii="Arial" w:hAnsi="Arial"/>
        </w:rPr>
        <w:t>Marc</w:t>
      </w:r>
      <w:r w:rsidRPr="00405F0F">
        <w:rPr>
          <w:rFonts w:ascii="Arial" w:hAnsi="Arial"/>
          <w:lang w:val="ru"/>
        </w:rPr>
        <w:t>-</w:t>
      </w:r>
      <w:r>
        <w:rPr>
          <w:rFonts w:ascii="Arial" w:hAnsi="Arial"/>
        </w:rPr>
        <w:t>Daniel</w:t>
      </w:r>
      <w:r w:rsidRPr="00405F0F">
        <w:rPr>
          <w:rFonts w:ascii="Arial" w:hAnsi="Arial"/>
          <w:lang w:val="ru"/>
        </w:rPr>
        <w:t xml:space="preserve"> </w:t>
      </w:r>
      <w:proofErr w:type="spellStart"/>
      <w:r>
        <w:rPr>
          <w:rFonts w:ascii="Arial" w:hAnsi="Arial"/>
        </w:rPr>
        <w:t>Moessinger</w:t>
      </w:r>
      <w:proofErr w:type="spellEnd"/>
      <w:r w:rsidRPr="00405F0F">
        <w:rPr>
          <w:rFonts w:ascii="Arial" w:hAnsi="Arial"/>
          <w:lang w:val="ru"/>
        </w:rPr>
        <w:t xml:space="preserve"> (</w:t>
      </w:r>
      <w:r>
        <w:rPr>
          <w:rFonts w:ascii="Arial" w:hAnsi="Arial"/>
        </w:rPr>
        <w:t>VDMA</w:t>
      </w:r>
      <w:r w:rsidRPr="00405F0F">
        <w:rPr>
          <w:rFonts w:ascii="Arial" w:hAnsi="Arial"/>
          <w:lang w:val="ru"/>
        </w:rPr>
        <w:t>)</w:t>
      </w:r>
    </w:p>
    <w:sectPr w:rsidR="00405F0F" w:rsidRPr="00405F0F" w:rsidSect="00651FFE">
      <w:headerReference w:type="default" r:id="rId7"/>
      <w:footerReference w:type="default" r:id="rId8"/>
      <w:type w:val="continuous"/>
      <w:pgSz w:w="11907" w:h="16840" w:code="9"/>
      <w:pgMar w:top="1418" w:right="3686" w:bottom="1134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3E7D3" w14:textId="77777777" w:rsidR="005D0C69" w:rsidRDefault="005D0C69">
      <w:r>
        <w:separator/>
      </w:r>
    </w:p>
  </w:endnote>
  <w:endnote w:type="continuationSeparator" w:id="0">
    <w:p w14:paraId="1BF8F66F" w14:textId="77777777" w:rsidR="005D0C69" w:rsidRDefault="005D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494D1" w14:textId="77777777" w:rsidR="005F4A8B" w:rsidRDefault="00405F0F">
    <w:pPr>
      <w:pStyle w:val="Fuzeile"/>
    </w:pPr>
    <w:r>
      <w:rPr>
        <w:noProof/>
        <w:lang w:val="ru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7.7pt;width:549pt;height:34.7pt;z-index:251656704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·Postfach 14 40, 97934 Tauberbischofsheim, Германия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телефон: (0) 93 41/86-0, телефакс: (0) 93 41/70 80, эл. почта: info@weinig.com, веб-сайт: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651FB" w14:textId="77777777" w:rsidR="005D0C69" w:rsidRDefault="005D0C69">
      <w:r>
        <w:separator/>
      </w:r>
    </w:p>
  </w:footnote>
  <w:footnote w:type="continuationSeparator" w:id="0">
    <w:p w14:paraId="464286AE" w14:textId="77777777" w:rsidR="005D0C69" w:rsidRDefault="005D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DDE1" w14:textId="77777777" w:rsidR="005F4A8B" w:rsidRDefault="00405F0F" w:rsidP="00C35EFC">
    <w:pPr>
      <w:pStyle w:val="Kopfzeile"/>
      <w:tabs>
        <w:tab w:val="clear" w:pos="9072"/>
        <w:tab w:val="right" w:pos="8647"/>
        <w:tab w:val="right" w:pos="9922"/>
      </w:tabs>
      <w:ind w:right="-1560" w:firstLine="4248"/>
      <w:jc w:val="right"/>
    </w:pPr>
    <w:r>
      <w:rPr>
        <w:noProof/>
        <w:lang w:val="ru"/>
      </w:rPr>
      <w:pict w14:anchorId="3994D5C4"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ru"/>
      </w:rPr>
      <w:pict w14:anchorId="1DD9903B"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7A7865">
      <w:rPr>
        <w:lang w:val="ru"/>
      </w:rPr>
      <w:t xml:space="preserve">  </w:t>
    </w:r>
    <w:r>
      <w:rPr>
        <w:lang w:val="ru"/>
      </w:rPr>
      <w:pict w14:anchorId="31C5C2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3.75pt;height:81.75pt">
          <v:imagedata r:id="rId1" o:title="logo_0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.75pt;height:3.75pt" o:bullet="t">
        <v:imagedata r:id="rId1" o:title=""/>
      </v:shape>
    </w:pict>
  </w:numPicBullet>
  <w:numPicBullet w:numPicBulletId="1">
    <w:pict>
      <v:shape id="_x0000_i1042" type="#_x0000_t75" style="width:3.75pt;height:3.75pt" o:bullet="t">
        <v:imagedata r:id="rId2" o:title=""/>
      </v:shape>
    </w:pict>
  </w:numPicBullet>
  <w:numPicBullet w:numPicBulletId="2">
    <w:pict>
      <v:shape id="_x0000_i1043" type="#_x0000_t75" style="width:12.75pt;height:12.75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2FD9"/>
    <w:rsid w:val="00004D8D"/>
    <w:rsid w:val="00017F0A"/>
    <w:rsid w:val="00022ED1"/>
    <w:rsid w:val="000269CE"/>
    <w:rsid w:val="00054473"/>
    <w:rsid w:val="00065085"/>
    <w:rsid w:val="0008775D"/>
    <w:rsid w:val="00091151"/>
    <w:rsid w:val="000A41DE"/>
    <w:rsid w:val="000C5562"/>
    <w:rsid w:val="000C5DA9"/>
    <w:rsid w:val="000D3FD3"/>
    <w:rsid w:val="00106D18"/>
    <w:rsid w:val="00121B05"/>
    <w:rsid w:val="00143C49"/>
    <w:rsid w:val="0014402B"/>
    <w:rsid w:val="00155553"/>
    <w:rsid w:val="001A5302"/>
    <w:rsid w:val="001C3B5F"/>
    <w:rsid w:val="001D2B20"/>
    <w:rsid w:val="001E1F76"/>
    <w:rsid w:val="001F3B1E"/>
    <w:rsid w:val="001F75EC"/>
    <w:rsid w:val="00215B09"/>
    <w:rsid w:val="0025072C"/>
    <w:rsid w:val="00255D17"/>
    <w:rsid w:val="0026081C"/>
    <w:rsid w:val="00273809"/>
    <w:rsid w:val="0028086B"/>
    <w:rsid w:val="00281AEE"/>
    <w:rsid w:val="00295091"/>
    <w:rsid w:val="002A28AD"/>
    <w:rsid w:val="002C0E55"/>
    <w:rsid w:val="002E0E9E"/>
    <w:rsid w:val="002E1FC6"/>
    <w:rsid w:val="00306012"/>
    <w:rsid w:val="003605C8"/>
    <w:rsid w:val="00392415"/>
    <w:rsid w:val="003927BB"/>
    <w:rsid w:val="00396E63"/>
    <w:rsid w:val="003A37C2"/>
    <w:rsid w:val="003A3862"/>
    <w:rsid w:val="003B4420"/>
    <w:rsid w:val="003C2A28"/>
    <w:rsid w:val="003F752A"/>
    <w:rsid w:val="00405F0F"/>
    <w:rsid w:val="004112E7"/>
    <w:rsid w:val="00446CEF"/>
    <w:rsid w:val="00447191"/>
    <w:rsid w:val="004523D0"/>
    <w:rsid w:val="00460797"/>
    <w:rsid w:val="0046217B"/>
    <w:rsid w:val="00473D54"/>
    <w:rsid w:val="004A36AD"/>
    <w:rsid w:val="004A3DEF"/>
    <w:rsid w:val="004A429D"/>
    <w:rsid w:val="004B0DF4"/>
    <w:rsid w:val="004C1D6C"/>
    <w:rsid w:val="004D4DF0"/>
    <w:rsid w:val="0051485D"/>
    <w:rsid w:val="005249DA"/>
    <w:rsid w:val="00531767"/>
    <w:rsid w:val="00536AB4"/>
    <w:rsid w:val="00544243"/>
    <w:rsid w:val="00547849"/>
    <w:rsid w:val="00562517"/>
    <w:rsid w:val="0057463A"/>
    <w:rsid w:val="0058779D"/>
    <w:rsid w:val="005A33ED"/>
    <w:rsid w:val="005A50D3"/>
    <w:rsid w:val="005B73A0"/>
    <w:rsid w:val="005C7B88"/>
    <w:rsid w:val="005D0C69"/>
    <w:rsid w:val="005F4A8B"/>
    <w:rsid w:val="0060193A"/>
    <w:rsid w:val="00612CCA"/>
    <w:rsid w:val="00642205"/>
    <w:rsid w:val="00651FFE"/>
    <w:rsid w:val="00691476"/>
    <w:rsid w:val="00694330"/>
    <w:rsid w:val="006B2767"/>
    <w:rsid w:val="006D3F30"/>
    <w:rsid w:val="006E41AC"/>
    <w:rsid w:val="00730250"/>
    <w:rsid w:val="0073490E"/>
    <w:rsid w:val="00753430"/>
    <w:rsid w:val="00767915"/>
    <w:rsid w:val="00783B5C"/>
    <w:rsid w:val="007954A4"/>
    <w:rsid w:val="007A7865"/>
    <w:rsid w:val="007C174B"/>
    <w:rsid w:val="007C71D6"/>
    <w:rsid w:val="007F3747"/>
    <w:rsid w:val="007F532E"/>
    <w:rsid w:val="00807530"/>
    <w:rsid w:val="008112D1"/>
    <w:rsid w:val="008143B1"/>
    <w:rsid w:val="00825873"/>
    <w:rsid w:val="00825D78"/>
    <w:rsid w:val="00827316"/>
    <w:rsid w:val="00834CAA"/>
    <w:rsid w:val="008417F8"/>
    <w:rsid w:val="00866BD0"/>
    <w:rsid w:val="00876032"/>
    <w:rsid w:val="0088695E"/>
    <w:rsid w:val="008A4FE4"/>
    <w:rsid w:val="008B5B90"/>
    <w:rsid w:val="008C7BEF"/>
    <w:rsid w:val="008D6132"/>
    <w:rsid w:val="008F27B8"/>
    <w:rsid w:val="008F46AD"/>
    <w:rsid w:val="00903186"/>
    <w:rsid w:val="00920FF4"/>
    <w:rsid w:val="00926F6D"/>
    <w:rsid w:val="009352D6"/>
    <w:rsid w:val="009764B0"/>
    <w:rsid w:val="0099294D"/>
    <w:rsid w:val="00996950"/>
    <w:rsid w:val="009B08CB"/>
    <w:rsid w:val="009C0E6B"/>
    <w:rsid w:val="009C398B"/>
    <w:rsid w:val="009F02F3"/>
    <w:rsid w:val="009F2184"/>
    <w:rsid w:val="009F4873"/>
    <w:rsid w:val="009F4D3F"/>
    <w:rsid w:val="00A532A1"/>
    <w:rsid w:val="00B00158"/>
    <w:rsid w:val="00B03934"/>
    <w:rsid w:val="00B32469"/>
    <w:rsid w:val="00B4552C"/>
    <w:rsid w:val="00B62627"/>
    <w:rsid w:val="00BC0AF8"/>
    <w:rsid w:val="00BD373A"/>
    <w:rsid w:val="00BF467A"/>
    <w:rsid w:val="00C02245"/>
    <w:rsid w:val="00C13FED"/>
    <w:rsid w:val="00C15F5D"/>
    <w:rsid w:val="00C34749"/>
    <w:rsid w:val="00C35EFC"/>
    <w:rsid w:val="00C415F6"/>
    <w:rsid w:val="00C46986"/>
    <w:rsid w:val="00C523E5"/>
    <w:rsid w:val="00C67998"/>
    <w:rsid w:val="00CB2A23"/>
    <w:rsid w:val="00D1526F"/>
    <w:rsid w:val="00D20183"/>
    <w:rsid w:val="00D339A5"/>
    <w:rsid w:val="00D55BED"/>
    <w:rsid w:val="00D63163"/>
    <w:rsid w:val="00D661E1"/>
    <w:rsid w:val="00D66735"/>
    <w:rsid w:val="00D715B3"/>
    <w:rsid w:val="00D746BD"/>
    <w:rsid w:val="00DD023B"/>
    <w:rsid w:val="00DF737D"/>
    <w:rsid w:val="00E138C3"/>
    <w:rsid w:val="00E525CD"/>
    <w:rsid w:val="00E579A0"/>
    <w:rsid w:val="00EC3215"/>
    <w:rsid w:val="00EC4FAF"/>
    <w:rsid w:val="00EE6AD1"/>
    <w:rsid w:val="00EE74D6"/>
    <w:rsid w:val="00F10017"/>
    <w:rsid w:val="00F24C51"/>
    <w:rsid w:val="00F35D9D"/>
    <w:rsid w:val="00F50AD5"/>
    <w:rsid w:val="00F52C7B"/>
    <w:rsid w:val="00F67508"/>
    <w:rsid w:val="00F75B95"/>
    <w:rsid w:val="00F86711"/>
    <w:rsid w:val="00F948DE"/>
    <w:rsid w:val="00FA3ABB"/>
    <w:rsid w:val="00FA765E"/>
    <w:rsid w:val="00FB3ED6"/>
    <w:rsid w:val="00FD6A46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4D5E759B-238D-4992-B324-049800BC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497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4</cp:revision>
  <cp:lastPrinted>2009-03-27T09:16:00Z</cp:lastPrinted>
  <dcterms:created xsi:type="dcterms:W3CDTF">2021-11-04T14:57:00Z</dcterms:created>
  <dcterms:modified xsi:type="dcterms:W3CDTF">2021-11-11T09:59:00Z</dcterms:modified>
</cp:coreProperties>
</file>