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39F29" w14:textId="0836A088" w:rsidR="005E5B06" w:rsidRDefault="00B10CA1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  <w:bidi w:val="0"/>
      </w:pPr>
      <w:r>
        <w:rPr>
          <w:rFonts w:ascii="Arial" w:cs="Arial" w:hAnsi="Arial"/>
          <w:lang w:val="pl"/>
          <w:b w:val="0"/>
          <w:bCs w:val="0"/>
          <w:i w:val="0"/>
          <w:iCs w:val="0"/>
          <w:u w:val="none"/>
          <w:vertAlign w:val="baseline"/>
          <w:rtl w:val="0"/>
        </w:rPr>
        <w:pict w14:anchorId="1084498D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34.25pt;margin-top:.25pt;width:126.65pt;height:104.7pt;z-index:1" filled="f" stroked="f">
            <v:textbox style="mso-next-textbox:#_x0000_s1037">
              <w:txbxContent>
                <w:p w14:paraId="23956ED6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pl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Osoba kontaktowa:</w:t>
                  </w:r>
                </w:p>
                <w:p w14:paraId="36C9CB41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76874956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14:paraId="3F156872" w14:textId="77777777" w:rsidR="005F4A8B" w:rsidRDefault="0053176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pl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Ayla Wolf</w:t>
                  </w:r>
                </w:p>
                <w:p w14:paraId="276DBFB8" w14:textId="4DA00BC2" w:rsidR="005F4A8B" w:rsidRDefault="007C174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pl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Dział Marketingu i Komunikacji Wewnętrznej Firmy</w:t>
                  </w:r>
                </w:p>
                <w:p w14:paraId="3860C1F9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72FE35E9" w14:textId="77777777" w:rsidR="00FD6A46" w:rsidRDefault="00FD6A4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14:paraId="530A6D60" w14:textId="77777777" w:rsidR="00B8509B" w:rsidRDefault="00106D18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pl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Telefon +49 (0) 9341 86-2321</w:t>
                  </w:r>
                </w:p>
                <w:p w14:paraId="135910C9" w14:textId="5E55872E" w:rsidR="005F4A8B" w:rsidRDefault="0053176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pl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Ayla.Wolf@weinig.com</w:t>
                  </w:r>
                </w:p>
                <w:p w14:paraId="5AE5BDEB" w14:textId="77777777" w:rsidR="005F4A8B" w:rsidRPr="00CB2A23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3AB3C47A" w14:textId="77777777" w:rsidR="005F4A8B" w:rsidRPr="00CB2A23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14:paraId="37ECCF2E" w14:textId="7C183229" w:rsidR="005F4A8B" w:rsidRPr="0086612A" w:rsidRDefault="00326DDC" w:rsidP="00B8509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pl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Styczeń 2022</w:t>
                  </w:r>
                </w:p>
              </w:txbxContent>
            </v:textbox>
          </v:shape>
        </w:pict>
      </w:r>
    </w:p>
    <w:p w14:paraId="76D8701B" w14:textId="0B03742A" w:rsidR="005E5B06" w:rsidRDefault="005E5B06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</w:pPr>
    </w:p>
    <w:p w14:paraId="5C45CE9B" w14:textId="77777777" w:rsidR="00853256" w:rsidRDefault="00853256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</w:pPr>
    </w:p>
    <w:p w14:paraId="3EC25E60" w14:textId="77777777" w:rsidR="00A45958" w:rsidRDefault="00A45958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</w:pPr>
    </w:p>
    <w:p w14:paraId="559182F4" w14:textId="3C32D54C" w:rsidR="005F4A8B" w:rsidRPr="005B472C" w:rsidRDefault="005F4A8B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  <w:bidi w:val="0"/>
      </w:pPr>
      <w:r>
        <w:rPr>
          <w:rFonts w:ascii="Arial" w:cs="Arial" w:hAnsi="Arial"/>
          <w:sz w:val="36"/>
          <w:szCs w:val="36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NOTATKA PRASOWA</w:t>
      </w:r>
    </w:p>
    <w:p w14:paraId="4A59BCC2" w14:textId="131E33B5"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14:paraId="08B262DA" w14:textId="3E86EC3C" w:rsidR="005D5421" w:rsidRDefault="005D5421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14:paraId="1D24878B" w14:textId="77777777" w:rsidR="00255D17" w:rsidRPr="008143B1" w:rsidRDefault="00255D17" w:rsidP="004A36AD">
      <w:pPr>
        <w:tabs>
          <w:tab w:val="left" w:pos="6946"/>
        </w:tabs>
        <w:spacing w:line="360" w:lineRule="auto"/>
        <w:ind w:right="-1"/>
        <w:jc w:val="both"/>
        <w:outlineLvl w:val="0"/>
        <w:rPr>
          <w:rFonts w:ascii="Arial" w:hAnsi="Arial" w:cs="Arial"/>
          <w:b/>
          <w:bCs/>
          <w:sz w:val="32"/>
          <w:szCs w:val="32"/>
        </w:rPr>
      </w:pPr>
    </w:p>
    <w:p w14:paraId="31C483C6" w14:textId="4B82B5B9" w:rsidR="003B4420" w:rsidRPr="003B4420" w:rsidRDefault="0002298F" w:rsidP="003B4420">
      <w:pPr>
        <w:spacing w:after="160" w:line="276" w:lineRule="auto"/>
        <w:jc w:val="both"/>
        <w:rPr>
          <w:rFonts w:ascii="Arial" w:eastAsia="Calibri" w:hAnsi="Arial" w:cs="Arial"/>
          <w:b/>
          <w:bCs/>
          <w:sz w:val="32"/>
          <w:szCs w:val="32"/>
        </w:rPr>
        <w:bidi w:val="0"/>
      </w:pPr>
      <w:r>
        <w:rPr>
          <w:rFonts w:ascii="Arial" w:cs="Arial" w:eastAsia="Calibri" w:hAnsi="Arial"/>
          <w:sz w:val="32"/>
          <w:szCs w:val="32"/>
          <w:lang w:val="pl"/>
          <w:b w:val="1"/>
          <w:bCs w:val="1"/>
          <w:i w:val="0"/>
          <w:iCs w:val="0"/>
          <w:u w:val="none"/>
          <w:vertAlign w:val="baseline"/>
          <w:rtl w:val="0"/>
        </w:rPr>
        <w:t xml:space="preserve">Grupa WEINIG rozpoczyna duży program inwestycyjny w firmie HOLZ-HER</w:t>
      </w:r>
    </w:p>
    <w:p w14:paraId="5C844BF0" w14:textId="77777777" w:rsidR="003B4420" w:rsidRDefault="003B4420" w:rsidP="003B4420">
      <w:pPr>
        <w:spacing w:after="160" w:line="259" w:lineRule="auto"/>
        <w:jc w:val="both"/>
        <w:rPr>
          <w:rFonts w:ascii="Arial" w:eastAsia="Calibri" w:hAnsi="Arial" w:cs="Arial"/>
        </w:rPr>
      </w:pPr>
    </w:p>
    <w:p w14:paraId="2C6B399D" w14:textId="744F87E7" w:rsidR="003B4420" w:rsidRPr="00D54302" w:rsidRDefault="007A544A" w:rsidP="003B4420">
      <w:pPr>
        <w:spacing w:after="160" w:line="360" w:lineRule="auto"/>
        <w:jc w:val="both"/>
        <w:rPr>
          <w:rFonts w:ascii="Arial" w:eastAsia="Calibri" w:hAnsi="Arial" w:cs="Arial"/>
          <w:b/>
          <w:bCs/>
        </w:rPr>
        <w:bidi w:val="0"/>
      </w:pPr>
      <w:r>
        <w:rPr>
          <w:rFonts w:ascii="Arial" w:cs="Arial" w:eastAsia="Calibri" w:hAnsi="Arial"/>
          <w:lang w:val="pl"/>
          <w:b w:val="1"/>
          <w:bCs w:val="1"/>
          <w:i w:val="0"/>
          <w:iCs w:val="0"/>
          <w:u w:val="none"/>
          <w:vertAlign w:val="baseline"/>
          <w:rtl w:val="0"/>
        </w:rPr>
        <w:t xml:space="preserve">Grupa WEINIG, wiodący dostawca technologii w branży obróbki drewna, zainwestuje 15 milionów euro w swój dział materiałów drewnopochodnych, wspierając w ten sposób swoją spółkę zależną HOLZ-HER. </w:t>
      </w:r>
      <w:r>
        <w:rPr>
          <w:rFonts w:ascii="Arial" w:cs="Arial" w:eastAsia="Calibri" w:hAnsi="Arial"/>
          <w:lang w:val="pl"/>
          <w:b w:val="1"/>
          <w:bCs w:val="1"/>
          <w:i w:val="0"/>
          <w:iCs w:val="0"/>
          <w:u w:val="none"/>
          <w:vertAlign w:val="baseline"/>
          <w:rtl w:val="0"/>
        </w:rPr>
        <w:t xml:space="preserve">Firma będąca częścią grupy od 2010 roku zaczęła w 2019 roku wyczerpywać swoje zdolności produkcyjne, dlatego duży projekt inwestycyjny powinien je znacznie zwiększyć i umożliwić dalszy rozwój.</w:t>
      </w:r>
    </w:p>
    <w:p w14:paraId="547B9763" w14:textId="337950FE" w:rsidR="005C38B1" w:rsidRPr="005C38B1" w:rsidRDefault="000B4698" w:rsidP="005C38B1">
      <w:pPr>
        <w:spacing w:after="160" w:line="360" w:lineRule="auto"/>
        <w:jc w:val="both"/>
        <w:rPr>
          <w:rFonts w:ascii="Arial" w:eastAsia="Calibri" w:hAnsi="Arial" w:cs="Arial"/>
        </w:rPr>
        <w:bidi w:val="0"/>
      </w:pPr>
      <w:r>
        <w:rPr>
          <w:rFonts w:ascii="Arial" w:cs="Arial" w:eastAsia="Calibri" w:hAnsi="Arial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Założone w 1914 roku przedsiębiorstwo budowy maszyn HOLZ-HER, które od 2010 roku dołączyło do Grupy WEINIG, w ostatnich latach tak szybko się rozwijało, że wielokrotnie osiągało granice swoich możliwości produkcyjnych. Pierwsze inwestycje w rozbudowę działu produkcji korpusów poczyniono już w 2018 roku. Ale w roku 2019 znów zrobiło się ciasno. Z tego powodu Zarząd i Rada Nadzorcza uzgodniły kompleksowy program inwestycyjny, który będzie przebiegał w trzech etapach:</w:t>
      </w:r>
    </w:p>
    <w:p w14:paraId="246B8423" w14:textId="77777777" w:rsidR="005C38B1" w:rsidRPr="005C38B1" w:rsidRDefault="005C38B1" w:rsidP="005C38B1">
      <w:pPr>
        <w:numPr>
          <w:ilvl w:val="0"/>
          <w:numId w:val="19"/>
        </w:numPr>
        <w:spacing w:after="160" w:line="360" w:lineRule="auto"/>
        <w:jc w:val="both"/>
        <w:rPr>
          <w:rFonts w:ascii="Arial" w:eastAsia="Calibri" w:hAnsi="Arial" w:cs="Arial"/>
        </w:rPr>
        <w:bidi w:val="0"/>
      </w:pPr>
      <w:r>
        <w:rPr>
          <w:rFonts w:ascii="Arial" w:cs="Arial" w:eastAsia="Calibri" w:hAnsi="Arial"/>
          <w:lang w:val="pl"/>
          <w:b w:val="1"/>
          <w:bCs w:val="1"/>
          <w:i w:val="0"/>
          <w:iCs w:val="0"/>
          <w:u w:val="none"/>
          <w:vertAlign w:val="baseline"/>
          <w:rtl w:val="0"/>
        </w:rPr>
        <w:t xml:space="preserve">Dalsza rozbudowa działu produkcji korpusów oraz powiększenie powierzchni montażowych</w:t>
      </w:r>
      <w:r>
        <w:rPr>
          <w:rFonts w:ascii="Arial" w:cs="Arial" w:eastAsia="Calibri" w:hAnsi="Arial"/>
          <w:lang w:val="pl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ascii="Arial" w:cs="Arial" w:eastAsia="Calibri" w:hAnsi="Arial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Oprócz inwestycji zrealizowanej już w 2018 roku, w dziale produkcji korpusów pojawi się nowa hala oraz nowe centrum obróbcze. Powierzchnia montażu zostanie powiększona o 1700 metrów kwadratowych.</w:t>
      </w:r>
    </w:p>
    <w:p w14:paraId="4BB8FE04" w14:textId="242FFDBB" w:rsidR="005C38B1" w:rsidRPr="005C38B1" w:rsidRDefault="005C38B1" w:rsidP="005C38B1">
      <w:pPr>
        <w:numPr>
          <w:ilvl w:val="0"/>
          <w:numId w:val="19"/>
        </w:numPr>
        <w:spacing w:after="160" w:line="360" w:lineRule="auto"/>
        <w:jc w:val="both"/>
        <w:rPr>
          <w:rFonts w:ascii="Arial" w:eastAsia="Calibri" w:hAnsi="Arial" w:cs="Arial"/>
        </w:rPr>
        <w:bidi w:val="0"/>
      </w:pPr>
      <w:r>
        <w:rPr>
          <w:rFonts w:ascii="Arial" w:cs="Arial" w:eastAsia="Calibri" w:hAnsi="Arial"/>
          <w:lang w:val="pl"/>
          <w:b w:val="1"/>
          <w:bCs w:val="1"/>
          <w:i w:val="0"/>
          <w:iCs w:val="0"/>
          <w:u w:val="none"/>
          <w:vertAlign w:val="baseline"/>
          <w:rtl w:val="0"/>
        </w:rPr>
        <w:t xml:space="preserve">Przeprojektowanie koncepcji logistycznej w zakładzie produkcyjnym</w:t>
      </w:r>
      <w:r>
        <w:rPr>
          <w:rFonts w:ascii="Arial" w:cs="Arial" w:eastAsia="Calibri" w:hAnsi="Arial"/>
          <w:lang w:val="pl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ascii="Arial" w:cs="Arial" w:eastAsia="Calibri" w:hAnsi="Arial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Dotychczasowa koncepcja logistyczna zostanie gruntownie przeprojektowana i zreorganizowana. W tym celu budowane są nowe magazyny o wysokim stopniu automatyzacji (na palety, pręty i drobne części).</w:t>
      </w:r>
    </w:p>
    <w:p w14:paraId="12F5CE5A" w14:textId="141CE4CC" w:rsidR="005C38B1" w:rsidRPr="004126B3" w:rsidRDefault="005C38B1" w:rsidP="005C38B1">
      <w:pPr>
        <w:numPr>
          <w:ilvl w:val="0"/>
          <w:numId w:val="19"/>
        </w:numPr>
        <w:spacing w:after="160" w:line="360" w:lineRule="auto"/>
        <w:jc w:val="both"/>
        <w:rPr>
          <w:rFonts w:ascii="Arial" w:eastAsia="Calibri" w:hAnsi="Arial" w:cs="Arial"/>
          <w:b/>
          <w:bCs/>
        </w:rPr>
        <w:bidi w:val="0"/>
      </w:pPr>
      <w:r>
        <w:rPr>
          <w:rFonts w:ascii="Arial" w:cs="Arial" w:eastAsia="Calibri" w:hAnsi="Arial"/>
          <w:lang w:val="pl"/>
          <w:b w:val="1"/>
          <w:bCs w:val="1"/>
          <w:i w:val="0"/>
          <w:iCs w:val="0"/>
          <w:u w:val="none"/>
          <w:vertAlign w:val="baseline"/>
          <w:rtl w:val="0"/>
        </w:rPr>
        <w:t xml:space="preserve">Rozbudowa salonu wystawowego i remont powierzchni biurowej w zakładzie w Voitsberg</w:t>
      </w:r>
    </w:p>
    <w:p w14:paraId="7AF9FF93" w14:textId="0CE2FC6F" w:rsidR="005C38B1" w:rsidRPr="005C38B1" w:rsidRDefault="005C38B1" w:rsidP="005C38B1">
      <w:pPr>
        <w:spacing w:after="160" w:line="360" w:lineRule="auto"/>
        <w:jc w:val="both"/>
        <w:rPr>
          <w:rFonts w:ascii="Arial" w:eastAsia="Calibri" w:hAnsi="Arial" w:cs="Arial"/>
        </w:rPr>
      </w:pPr>
    </w:p>
    <w:p w14:paraId="63CEA309" w14:textId="59C1D86B" w:rsidR="005C38B1" w:rsidRPr="005C38B1" w:rsidRDefault="005C38B1" w:rsidP="005C38B1">
      <w:pPr>
        <w:spacing w:after="160" w:line="360" w:lineRule="auto"/>
        <w:jc w:val="both"/>
        <w:rPr>
          <w:rFonts w:ascii="Arial" w:eastAsia="Calibri" w:hAnsi="Arial" w:cs="Arial"/>
        </w:rPr>
        <w:bidi w:val="0"/>
      </w:pPr>
      <w:r>
        <w:rPr>
          <w:rFonts w:ascii="Arial" w:cs="Arial" w:eastAsia="Calibri" w:hAnsi="Arial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Dzięki inwestycji o łącznej wartości 15 milionów euro nie tylko zwiększą się moce produkcyjne, ale także stworzona zostanie przestrzeń do rozszerzenia portfolio produktów w przyszłości. </w:t>
      </w:r>
    </w:p>
    <w:p w14:paraId="09517B32" w14:textId="0763BEC5" w:rsidR="005C38B1" w:rsidRDefault="005C38B1" w:rsidP="005C38B1">
      <w:pPr>
        <w:spacing w:after="160" w:line="360" w:lineRule="auto"/>
        <w:jc w:val="both"/>
        <w:rPr>
          <w:rFonts w:ascii="Arial" w:eastAsia="Calibri" w:hAnsi="Arial" w:cs="Arial"/>
        </w:rPr>
        <w:bidi w:val="0"/>
      </w:pPr>
      <w:r>
        <w:rPr>
          <w:rFonts w:ascii="Arial" w:cs="Arial" w:eastAsia="Calibri" w:hAnsi="Arial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Mając na uwadze inwestycje poczynione już w 2019 r. (5 mln) i 2020 r. (12 mln), które dotyczyły przede wszystkim działu sprzedaży, serwisu i rozwoju w Nürtingen, WEINIG po raz kolejny podkreśla znaczenie HOLZ-HER dla Grupy.</w:t>
      </w:r>
    </w:p>
    <w:p w14:paraId="189A3D2C" w14:textId="0D972D6C" w:rsidR="003747D9" w:rsidRPr="005C38B1" w:rsidRDefault="00425936" w:rsidP="005C38B1">
      <w:pPr>
        <w:spacing w:after="160" w:line="360" w:lineRule="auto"/>
        <w:jc w:val="both"/>
        <w:rPr>
          <w:rFonts w:ascii="Arial" w:eastAsia="Calibri" w:hAnsi="Arial" w:cs="Arial"/>
        </w:rPr>
        <w:bidi w:val="0"/>
      </w:pPr>
      <w:r>
        <w:rPr>
          <w:rFonts w:ascii="Arial" w:cs="Arial" w:eastAsia="Calibri" w:hAnsi="Arial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Inwestycja w dalszą rozbudowę oddziałów jest również wyraźnym sygnałem dla pracowników, że WEINIG wyraźnie pozycjonuje się w kierunku Voitsberg i Nürtingen i w pełni wspiera je w dalszym rozwoju firmy HOLZ-HER.</w:t>
      </w:r>
    </w:p>
    <w:p w14:paraId="0E02950E" w14:textId="4A92A65A" w:rsidR="00FE1381" w:rsidRDefault="005C38B1" w:rsidP="003B4420">
      <w:pPr>
        <w:spacing w:after="160" w:line="360" w:lineRule="auto"/>
        <w:jc w:val="both"/>
        <w:rPr>
          <w:rFonts w:ascii="Arial" w:eastAsia="Calibri" w:hAnsi="Arial" w:cs="Arial"/>
        </w:rPr>
        <w:bidi w:val="0"/>
      </w:pPr>
      <w:r>
        <w:rPr>
          <w:rFonts w:ascii="Arial" w:cs="Arial" w:eastAsia="Calibri" w:hAnsi="Arial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Dzięki dwóm działom specjalizującym się w litym drewnie i materiałach drewnopochodnych, Grupa WEINIG ma dobrą pozycję rynkową. Wynika to nie tylko ze szczególnego zaangażowania pracowników, którym firma pragnie mocno podziękować. </w:t>
      </w:r>
    </w:p>
    <w:p w14:paraId="27C6C684" w14:textId="1AF04137" w:rsidR="00C7652E" w:rsidRPr="003B4420" w:rsidRDefault="00C7652E" w:rsidP="003B4420">
      <w:pPr>
        <w:spacing w:after="160" w:line="360" w:lineRule="auto"/>
        <w:jc w:val="both"/>
        <w:rPr>
          <w:rFonts w:ascii="Arial" w:eastAsia="Calibri" w:hAnsi="Arial" w:cs="Arial"/>
        </w:rPr>
        <w:bidi w:val="0"/>
      </w:pPr>
      <w:r>
        <w:rPr>
          <w:rFonts w:ascii="Arial" w:cs="Arial" w:eastAsia="Calibri" w:hAnsi="Arial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Cieszymy się, że możemy wspólnie dalej kształtować przyszłość firmy HOLZ-HER – mówi Gregor Baumbusch, dyrektor generalny Grupy WEINIG oraz Frank Epple, dyrektor zarządzający firmy HOLZ-HER.</w:t>
      </w:r>
    </w:p>
    <w:sectPr w:rsidR="00C7652E" w:rsidRPr="003B4420" w:rsidSect="00A54F24">
      <w:headerReference w:type="default" r:id="rId7"/>
      <w:footerReference w:type="default" r:id="rId8"/>
      <w:type w:val="continuous"/>
      <w:pgSz w:w="11907" w:h="16840" w:code="9"/>
      <w:pgMar w:top="2552" w:right="1559" w:bottom="1560" w:left="1134" w:header="737" w:footer="85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A07E3" w14:textId="77777777" w:rsidR="00B10CA1" w:rsidRDefault="00B10CA1">
      <w:pPr>
        <w:bidi w:val="0"/>
      </w:pPr>
      <w:r>
        <w:separator/>
      </w:r>
    </w:p>
  </w:endnote>
  <w:endnote w:type="continuationSeparator" w:id="0">
    <w:p w14:paraId="7404C52E" w14:textId="77777777" w:rsidR="00B10CA1" w:rsidRDefault="00B10CA1">
      <w:pPr>
        <w:bidi w:val="0"/>
      </w:pPr>
      <w:r>
        <w:continuationSeparator/>
      </w:r>
    </w:p>
  </w:endnote>
  <w:endnote w:type="continuationNotice" w:id="1">
    <w:p w14:paraId="797AB17A" w14:textId="77777777" w:rsidR="00B10CA1" w:rsidRDefault="00B10C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494D1" w14:textId="77777777" w:rsidR="005F4A8B" w:rsidRDefault="00B10CA1">
    <w:pPr>
      <w:pStyle w:val="Fuzeile"/>
      <w:bidi w:val="0"/>
    </w:pPr>
    <w:r>
      <w:rPr>
        <w:noProof/>
        <w:lang w:val="pl"/>
        <w:b w:val="0"/>
        <w:bCs w:val="0"/>
        <w:i w:val="0"/>
        <w:iCs w:val="0"/>
        <w:u w:val="none"/>
        <w:vertAlign w:val="baseline"/>
        <w:rtl w:val="0"/>
      </w:rPr>
      <w:pict w14:anchorId="3E7EDA9C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.1pt;margin-top:2.6pt;width:433.05pt;height:34.7pt;z-index:1" stroked="f">
          <v:textbox style="mso-next-textbox:#_x0000_s2052" inset="0,0,0,0">
            <w:txbxContent>
              <w:p w14:paraId="4EAD6AB0" w14:textId="77777777" w:rsidR="005F4A8B" w:rsidRDefault="005F4A8B">
                <w:pPr>
                  <w:rPr>
                    <w:rFonts w:ascii="Arial" w:hAnsi="Arial"/>
                    <w:b/>
                    <w:sz w:val="22"/>
                    <w:szCs w:val="22"/>
                  </w:rPr>
                  <w:bidi w:val="0"/>
                </w:pPr>
                <w:r>
                  <w:rPr>
                    <w:rFonts w:ascii="Arial" w:hAnsi="Arial"/>
                    <w:sz w:val="22"/>
                    <w:szCs w:val="22"/>
                    <w:lang w:val="pl"/>
                    <w:b w:val="1"/>
                    <w:bCs w:val="1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Michael Weinig AG</w:t>
                </w:r>
              </w:p>
              <w:p w14:paraId="6DE2BE2C" w14:textId="77777777" w:rsidR="005F4A8B" w:rsidRDefault="005F4A8B">
                <w:pPr>
                  <w:rPr>
                    <w:rFonts w:ascii="Arial" w:hAnsi="Arial"/>
                    <w:sz w:val="15"/>
                    <w:szCs w:val="15"/>
                  </w:rPr>
                  <w:bidi w:val="0"/>
                </w:pPr>
                <w:r>
                  <w:rPr>
                    <w:rFonts w:ascii="Arial" w:hAnsi="Arial"/>
                    <w:sz w:val="15"/>
                    <w:szCs w:val="15"/>
                    <w:lang w:val="pl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Weinigstraße 2/4, 97941 Tauberbischofsheim · Postfach 14 40, 97934 Tauberbischofsheim, Niemcy</w:t>
                </w:r>
              </w:p>
              <w:p w14:paraId="2EA68ED4" w14:textId="77777777" w:rsidR="005F4A8B" w:rsidRDefault="005F4A8B">
                <w:pPr>
                  <w:rPr>
                    <w:sz w:val="15"/>
                    <w:szCs w:val="15"/>
                  </w:rPr>
                  <w:bidi w:val="0"/>
                </w:pPr>
                <w:r>
                  <w:rPr>
                    <w:rFonts w:ascii="Arial" w:hAnsi="Arial"/>
                    <w:sz w:val="15"/>
                    <w:szCs w:val="15"/>
                    <w:lang w:val="pl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Telefon (0) 93 41/86-0, telefaks (0) 93 41/70 80, email info@weinig.com, internet www.weinig.com</w:t>
                </w:r>
              </w:p>
            </w:txbxContent>
          </v:textbox>
        </v:shape>
      </w:pict>
    </w:r>
  </w:p>
  <w:p w14:paraId="32ADEE0B" w14:textId="77777777" w:rsidR="005F4A8B" w:rsidRDefault="005F4A8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C880B" w14:textId="77777777" w:rsidR="00B10CA1" w:rsidRDefault="00B10CA1">
      <w:pPr>
        <w:bidi w:val="0"/>
      </w:pPr>
      <w:r>
        <w:separator/>
      </w:r>
    </w:p>
  </w:footnote>
  <w:footnote w:type="continuationSeparator" w:id="0">
    <w:p w14:paraId="5F00213D" w14:textId="77777777" w:rsidR="00B10CA1" w:rsidRDefault="00B10CA1">
      <w:pPr>
        <w:bidi w:val="0"/>
      </w:pPr>
      <w:r>
        <w:continuationSeparator/>
      </w:r>
    </w:p>
  </w:footnote>
  <w:footnote w:type="continuationNotice" w:id="1">
    <w:p w14:paraId="0562D319" w14:textId="77777777" w:rsidR="00B10CA1" w:rsidRDefault="00B10C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4DDE1" w14:textId="158DB503" w:rsidR="005F4A8B" w:rsidRDefault="00B10CA1" w:rsidP="005D5421">
    <w:pPr>
      <w:pStyle w:val="Kopfzeile"/>
      <w:tabs>
        <w:tab w:val="clear" w:pos="9072"/>
        <w:tab w:val="right" w:pos="8080"/>
      </w:tabs>
      <w:ind w:right="-1560" w:firstLine="4248"/>
      <w:jc w:val="right"/>
      <w:bidi w:val="0"/>
    </w:pPr>
    <w:r>
      <w:rPr>
        <w:noProof/>
        <w:lang w:val="pl"/>
        <w:b w:val="0"/>
        <w:bCs w:val="0"/>
        <w:i w:val="0"/>
        <w:iCs w:val="0"/>
        <w:u w:val="none"/>
        <w:vertAlign w:val="baseline"/>
        <w:rtl w:val="0"/>
      </w:rPr>
      <w:pict w14:anchorId="0F5DB0B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3" type="#_x0000_t32" style="position:absolute;left:0;text-align:left;margin-left:-11.45pt;margin-top:25.6pt;width:201.35pt;height:0;z-index:5" o:connectortype="straight" strokeweight="2pt">
          <v:shadow type="perspective" color="#375623" opacity=".5" offset="1pt" offset2="-1pt"/>
        </v:shape>
      </w:pict>
    </w:r>
    <w:r>
      <w:rPr>
        <w:noProof/>
        <w:lang w:val="pl"/>
        <w:b w:val="0"/>
        <w:bCs w:val="0"/>
        <w:i w:val="0"/>
        <w:iCs w:val="0"/>
        <w:u w:val="none"/>
        <w:vertAlign w:val="baseline"/>
        <w:rtl w:val="0"/>
      </w:rPr>
      <w:pict w14:anchorId="1E01B026">
        <v:shape id="_x0000_s2076" type="#_x0000_t32" style="position:absolute;left:0;text-align:left;margin-left:295.05pt;margin-top:25.6pt;width:201.35pt;height:0;z-index:6" o:connectortype="straight" strokeweight="2pt">
          <v:shadow type="perspective" color="#375623" opacity=".5" offset="1pt" offset2="-1pt"/>
        </v:shape>
      </w:pict>
    </w:r>
    <w:r>
      <w:rPr>
        <w:noProof/>
        <w:lang w:val="pl"/>
        <w:b w:val="0"/>
        <w:bCs w:val="0"/>
        <w:i w:val="0"/>
        <w:iCs w:val="0"/>
        <w:u w:val="none"/>
        <w:vertAlign w:val="baseline"/>
        <w:rtl w:val="0"/>
      </w:rPr>
      <w:pict w14:anchorId="4D39CA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2" type="#_x0000_t75" style="position:absolute;left:0;text-align:left;margin-left:208.7pt;margin-top:-10.85pt;width:63.7pt;height:81.55pt;z-index:4" o:allowoverlap="f">
          <v:imagedata r:id="rId1" o:title="logo_09"/>
          <w10:wrap type="square"/>
        </v:shape>
      </w:pict>
    </w:r>
    <w:r>
      <w:rPr>
        <w:noProof/>
        <w:lang w:val="pl"/>
        <w:b w:val="0"/>
        <w:bCs w:val="0"/>
        <w:i w:val="0"/>
        <w:iCs w:val="0"/>
        <w:u w:val="none"/>
        <w:vertAlign w:val="baseline"/>
        <w:rtl w:val="0"/>
      </w:rPr>
      <w:pict w14:anchorId="3994D5C4">
        <v:line id="_x0000_s2069" style="position:absolute;left:0;text-align:left;z-index:3;mso-position-horizontal-relative:page;mso-position-vertical-relative:page" from="11.35pt,595.35pt" to="22.7pt,595.35pt" strokeweight=".1pt">
          <w10:wrap anchorx="page" anchory="page"/>
          <w10:anchorlock/>
        </v:line>
      </w:pict>
    </w:r>
    <w:r>
      <w:rPr>
        <w:noProof/>
        <w:lang w:val="pl"/>
        <w:b w:val="0"/>
        <w:bCs w:val="0"/>
        <w:i w:val="0"/>
        <w:iCs w:val="0"/>
        <w:u w:val="none"/>
        <w:vertAlign w:val="baseline"/>
        <w:rtl w:val="0"/>
      </w:rPr>
      <w:pict w14:anchorId="1DD9903B">
        <v:line id="_x0000_s2068" style="position:absolute;left:0;text-align:left;z-index:2;mso-position-horizontal-relative:page;mso-position-vertical-relative:page" from="11.35pt,297.7pt" to="22.7pt,297.7pt" strokeweight=".1pt">
          <w10:wrap anchorx="page" anchory="page"/>
          <w10:anchorlock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3.2pt;height:3.2pt" o:bullet="t">
        <v:imagedata r:id="rId1" o:title=""/>
      </v:shape>
    </w:pict>
  </w:numPicBullet>
  <w:numPicBullet w:numPicBulletId="1">
    <w:pic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v:shape id="_x0000_i1084" type="#_x0000_t75" style="width:3.2pt;height:3.2pt" o:bullet="t">
        <v:imagedata r:id="rId2" o:title=""/>
      </v:shape>
    </w:pict>
  </w:numPicBullet>
  <w:numPicBullet w:numPicBulletId="2">
    <w:pic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v:shape id="_x0000_i1085" type="#_x0000_t75" style="width:12.1pt;height:12.1pt" o:bullet="t">
        <v:imagedata r:id="rId3" o:title=""/>
      </v:shape>
    </w:pict>
  </w:numPicBullet>
  <w:abstractNum w:abstractNumId="0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1FC3FD7"/>
    <w:multiLevelType w:val="hybridMultilevel"/>
    <w:tmpl w:val="673E3A9A"/>
    <w:lvl w:ilvl="0" w:tplc="79B826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061F79"/>
    <w:multiLevelType w:val="hybridMultilevel"/>
    <w:tmpl w:val="4698C308"/>
    <w:lvl w:ilvl="0" w:tplc="2E5A9C1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66582"/>
    <w:multiLevelType w:val="hybridMultilevel"/>
    <w:tmpl w:val="8BD636EC"/>
    <w:lvl w:ilvl="0" w:tplc="2E5A9C1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216C6"/>
    <w:multiLevelType w:val="hybridMultilevel"/>
    <w:tmpl w:val="5B927A86"/>
    <w:lvl w:ilvl="0" w:tplc="84FEA242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5"/>
  </w:num>
  <w:num w:numId="3">
    <w:abstractNumId w:val="3"/>
  </w:num>
  <w:num w:numId="4">
    <w:abstractNumId w:val="4"/>
  </w:num>
  <w:num w:numId="5">
    <w:abstractNumId w:val="14"/>
  </w:num>
  <w:num w:numId="6">
    <w:abstractNumId w:val="2"/>
  </w:num>
  <w:num w:numId="7">
    <w:abstractNumId w:val="0"/>
  </w:num>
  <w:num w:numId="8">
    <w:abstractNumId w:val="16"/>
  </w:num>
  <w:num w:numId="9">
    <w:abstractNumId w:val="11"/>
  </w:num>
  <w:num w:numId="10">
    <w:abstractNumId w:val="8"/>
  </w:num>
  <w:num w:numId="11">
    <w:abstractNumId w:val="7"/>
  </w:num>
  <w:num w:numId="12">
    <w:abstractNumId w:val="20"/>
  </w:num>
  <w:num w:numId="13">
    <w:abstractNumId w:val="1"/>
  </w:num>
  <w:num w:numId="14">
    <w:abstractNumId w:val="13"/>
  </w:num>
  <w:num w:numId="15">
    <w:abstractNumId w:val="5"/>
  </w:num>
  <w:num w:numId="16">
    <w:abstractNumId w:val="17"/>
  </w:num>
  <w:num w:numId="17">
    <w:abstractNumId w:val="12"/>
  </w:num>
  <w:num w:numId="18">
    <w:abstractNumId w:val="18"/>
  </w:num>
  <w:num w:numId="19">
    <w:abstractNumId w:val="6"/>
  </w:num>
  <w:num w:numId="20">
    <w:abstractNumId w:val="1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/>
  <w:attachedTemplate r:id="rId1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7">
      <o:colormru v:ext="edit" colors="#009836"/>
    </o:shapedefaults>
    <o:shapelayout v:ext="edit">
      <o:idmap v:ext="edit" data="2"/>
      <o:rules v:ext="edit">
        <o:r id="V:Rule1" type="connector" idref="#_x0000_s2073"/>
        <o:r id="V:Rule2" type="connector" idref="#_x0000_s2076"/>
      </o:rules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4DF0"/>
    <w:rsid w:val="00001E01"/>
    <w:rsid w:val="00002FD9"/>
    <w:rsid w:val="00004D8D"/>
    <w:rsid w:val="00017F0A"/>
    <w:rsid w:val="0002298F"/>
    <w:rsid w:val="00022ED1"/>
    <w:rsid w:val="000269CE"/>
    <w:rsid w:val="000359E0"/>
    <w:rsid w:val="00040E1C"/>
    <w:rsid w:val="00040FBE"/>
    <w:rsid w:val="00052CFD"/>
    <w:rsid w:val="00054473"/>
    <w:rsid w:val="00065085"/>
    <w:rsid w:val="000849A7"/>
    <w:rsid w:val="000858C0"/>
    <w:rsid w:val="0008775D"/>
    <w:rsid w:val="00090C4C"/>
    <w:rsid w:val="00091151"/>
    <w:rsid w:val="00093C69"/>
    <w:rsid w:val="000A01C7"/>
    <w:rsid w:val="000A41DE"/>
    <w:rsid w:val="000B4698"/>
    <w:rsid w:val="000C5562"/>
    <w:rsid w:val="000C5DA9"/>
    <w:rsid w:val="000D3FD3"/>
    <w:rsid w:val="000E2DC7"/>
    <w:rsid w:val="00106D18"/>
    <w:rsid w:val="00121B05"/>
    <w:rsid w:val="00143C49"/>
    <w:rsid w:val="0014402B"/>
    <w:rsid w:val="00150383"/>
    <w:rsid w:val="00155553"/>
    <w:rsid w:val="00155B95"/>
    <w:rsid w:val="00157BBB"/>
    <w:rsid w:val="00193165"/>
    <w:rsid w:val="001A5302"/>
    <w:rsid w:val="001B6D2C"/>
    <w:rsid w:val="001C3B5F"/>
    <w:rsid w:val="001D02F2"/>
    <w:rsid w:val="001D2B20"/>
    <w:rsid w:val="001E1F76"/>
    <w:rsid w:val="001F3B1E"/>
    <w:rsid w:val="001F75EC"/>
    <w:rsid w:val="0021379B"/>
    <w:rsid w:val="00215B09"/>
    <w:rsid w:val="0025072C"/>
    <w:rsid w:val="00255D17"/>
    <w:rsid w:val="002579F5"/>
    <w:rsid w:val="0026081C"/>
    <w:rsid w:val="00273809"/>
    <w:rsid w:val="00275DF7"/>
    <w:rsid w:val="00276BA5"/>
    <w:rsid w:val="0028086B"/>
    <w:rsid w:val="00281AEE"/>
    <w:rsid w:val="00295091"/>
    <w:rsid w:val="002A28AD"/>
    <w:rsid w:val="002B3C46"/>
    <w:rsid w:val="002C0E55"/>
    <w:rsid w:val="002C55E4"/>
    <w:rsid w:val="002C7E25"/>
    <w:rsid w:val="002E0E9E"/>
    <w:rsid w:val="002E1FC6"/>
    <w:rsid w:val="00306012"/>
    <w:rsid w:val="003148CD"/>
    <w:rsid w:val="00326DDC"/>
    <w:rsid w:val="00353F76"/>
    <w:rsid w:val="003605C8"/>
    <w:rsid w:val="00372332"/>
    <w:rsid w:val="003747D9"/>
    <w:rsid w:val="00377EF9"/>
    <w:rsid w:val="00387C3D"/>
    <w:rsid w:val="00392415"/>
    <w:rsid w:val="003927BB"/>
    <w:rsid w:val="00396E63"/>
    <w:rsid w:val="003A37C2"/>
    <w:rsid w:val="003A3862"/>
    <w:rsid w:val="003B4420"/>
    <w:rsid w:val="003C2A28"/>
    <w:rsid w:val="003D2D0F"/>
    <w:rsid w:val="003E1564"/>
    <w:rsid w:val="003F752A"/>
    <w:rsid w:val="00403873"/>
    <w:rsid w:val="004071C1"/>
    <w:rsid w:val="004112E7"/>
    <w:rsid w:val="004126B3"/>
    <w:rsid w:val="0041632A"/>
    <w:rsid w:val="00425936"/>
    <w:rsid w:val="0043326E"/>
    <w:rsid w:val="00446CEF"/>
    <w:rsid w:val="00447191"/>
    <w:rsid w:val="004523D0"/>
    <w:rsid w:val="00460797"/>
    <w:rsid w:val="0046217B"/>
    <w:rsid w:val="00473D54"/>
    <w:rsid w:val="004818C8"/>
    <w:rsid w:val="00482CC0"/>
    <w:rsid w:val="004A36AD"/>
    <w:rsid w:val="004A3DEF"/>
    <w:rsid w:val="004A429D"/>
    <w:rsid w:val="004B0DF4"/>
    <w:rsid w:val="004C1D6C"/>
    <w:rsid w:val="004D4DF0"/>
    <w:rsid w:val="0050257B"/>
    <w:rsid w:val="0051485D"/>
    <w:rsid w:val="005249DA"/>
    <w:rsid w:val="00531767"/>
    <w:rsid w:val="00532083"/>
    <w:rsid w:val="00536AB4"/>
    <w:rsid w:val="00544243"/>
    <w:rsid w:val="00547849"/>
    <w:rsid w:val="00562517"/>
    <w:rsid w:val="0057057C"/>
    <w:rsid w:val="0057463A"/>
    <w:rsid w:val="0058779D"/>
    <w:rsid w:val="005A33ED"/>
    <w:rsid w:val="005A34F5"/>
    <w:rsid w:val="005A50D3"/>
    <w:rsid w:val="005B472C"/>
    <w:rsid w:val="005B73A0"/>
    <w:rsid w:val="005C38B1"/>
    <w:rsid w:val="005C7B88"/>
    <w:rsid w:val="005D0C69"/>
    <w:rsid w:val="005D292E"/>
    <w:rsid w:val="005D52E5"/>
    <w:rsid w:val="005D5421"/>
    <w:rsid w:val="005E5B06"/>
    <w:rsid w:val="005F4A8B"/>
    <w:rsid w:val="0060193A"/>
    <w:rsid w:val="00610232"/>
    <w:rsid w:val="00612CCA"/>
    <w:rsid w:val="00622E90"/>
    <w:rsid w:val="006260B2"/>
    <w:rsid w:val="00641915"/>
    <w:rsid w:val="00642205"/>
    <w:rsid w:val="00642E91"/>
    <w:rsid w:val="00651FFE"/>
    <w:rsid w:val="0065602B"/>
    <w:rsid w:val="00691476"/>
    <w:rsid w:val="00694330"/>
    <w:rsid w:val="006B0F2D"/>
    <w:rsid w:val="006B2767"/>
    <w:rsid w:val="006D3F30"/>
    <w:rsid w:val="006D42B0"/>
    <w:rsid w:val="006E41AC"/>
    <w:rsid w:val="0070732C"/>
    <w:rsid w:val="007252CF"/>
    <w:rsid w:val="00730250"/>
    <w:rsid w:val="0073490E"/>
    <w:rsid w:val="00742798"/>
    <w:rsid w:val="0074763D"/>
    <w:rsid w:val="00753430"/>
    <w:rsid w:val="007618EF"/>
    <w:rsid w:val="00767915"/>
    <w:rsid w:val="00783B5C"/>
    <w:rsid w:val="007954A4"/>
    <w:rsid w:val="007A3EE4"/>
    <w:rsid w:val="007A544A"/>
    <w:rsid w:val="007B6086"/>
    <w:rsid w:val="007C174B"/>
    <w:rsid w:val="007C71D6"/>
    <w:rsid w:val="007D43D5"/>
    <w:rsid w:val="007F3747"/>
    <w:rsid w:val="007F532E"/>
    <w:rsid w:val="00807530"/>
    <w:rsid w:val="00810DFF"/>
    <w:rsid w:val="008112D1"/>
    <w:rsid w:val="008143B1"/>
    <w:rsid w:val="00825873"/>
    <w:rsid w:val="00825D78"/>
    <w:rsid w:val="00827316"/>
    <w:rsid w:val="00834CAA"/>
    <w:rsid w:val="008417F8"/>
    <w:rsid w:val="008450E4"/>
    <w:rsid w:val="00853256"/>
    <w:rsid w:val="00860AF6"/>
    <w:rsid w:val="0086612A"/>
    <w:rsid w:val="00866BD0"/>
    <w:rsid w:val="00876032"/>
    <w:rsid w:val="0088695E"/>
    <w:rsid w:val="0088788A"/>
    <w:rsid w:val="008955B1"/>
    <w:rsid w:val="00896F0F"/>
    <w:rsid w:val="008A4E6A"/>
    <w:rsid w:val="008A4FE4"/>
    <w:rsid w:val="008B4DB6"/>
    <w:rsid w:val="008B5B90"/>
    <w:rsid w:val="008C7BEF"/>
    <w:rsid w:val="008D6132"/>
    <w:rsid w:val="008E35A7"/>
    <w:rsid w:val="008F150B"/>
    <w:rsid w:val="008F1D2A"/>
    <w:rsid w:val="008F2314"/>
    <w:rsid w:val="008F27B8"/>
    <w:rsid w:val="008F46AD"/>
    <w:rsid w:val="00903186"/>
    <w:rsid w:val="009031E7"/>
    <w:rsid w:val="00920FF4"/>
    <w:rsid w:val="00926F6D"/>
    <w:rsid w:val="009352D6"/>
    <w:rsid w:val="00946DEE"/>
    <w:rsid w:val="00955896"/>
    <w:rsid w:val="00955AD0"/>
    <w:rsid w:val="009764B0"/>
    <w:rsid w:val="0098231B"/>
    <w:rsid w:val="0099294D"/>
    <w:rsid w:val="0099470C"/>
    <w:rsid w:val="009954CC"/>
    <w:rsid w:val="00996950"/>
    <w:rsid w:val="009B08CB"/>
    <w:rsid w:val="009C0E6B"/>
    <w:rsid w:val="009C398B"/>
    <w:rsid w:val="009F02F3"/>
    <w:rsid w:val="009F2184"/>
    <w:rsid w:val="009F4873"/>
    <w:rsid w:val="009F4D3F"/>
    <w:rsid w:val="00A11412"/>
    <w:rsid w:val="00A16E4D"/>
    <w:rsid w:val="00A16F5E"/>
    <w:rsid w:val="00A24C28"/>
    <w:rsid w:val="00A3444B"/>
    <w:rsid w:val="00A35A63"/>
    <w:rsid w:val="00A45958"/>
    <w:rsid w:val="00A532A1"/>
    <w:rsid w:val="00A54F24"/>
    <w:rsid w:val="00A85590"/>
    <w:rsid w:val="00AD5848"/>
    <w:rsid w:val="00AE0ECA"/>
    <w:rsid w:val="00AE6C6E"/>
    <w:rsid w:val="00B00158"/>
    <w:rsid w:val="00B03934"/>
    <w:rsid w:val="00B10848"/>
    <w:rsid w:val="00B10CA1"/>
    <w:rsid w:val="00B2516B"/>
    <w:rsid w:val="00B32469"/>
    <w:rsid w:val="00B4552C"/>
    <w:rsid w:val="00B46514"/>
    <w:rsid w:val="00B55EAB"/>
    <w:rsid w:val="00B62627"/>
    <w:rsid w:val="00B8509B"/>
    <w:rsid w:val="00BA575D"/>
    <w:rsid w:val="00BC0AF8"/>
    <w:rsid w:val="00BD013E"/>
    <w:rsid w:val="00BD373A"/>
    <w:rsid w:val="00BF467A"/>
    <w:rsid w:val="00C02245"/>
    <w:rsid w:val="00C13FED"/>
    <w:rsid w:val="00C15F5D"/>
    <w:rsid w:val="00C34749"/>
    <w:rsid w:val="00C35EFC"/>
    <w:rsid w:val="00C415F6"/>
    <w:rsid w:val="00C45FDC"/>
    <w:rsid w:val="00C46986"/>
    <w:rsid w:val="00C523E5"/>
    <w:rsid w:val="00C67998"/>
    <w:rsid w:val="00C7652E"/>
    <w:rsid w:val="00CB2A23"/>
    <w:rsid w:val="00CE3E59"/>
    <w:rsid w:val="00CF0A8E"/>
    <w:rsid w:val="00D03003"/>
    <w:rsid w:val="00D1526F"/>
    <w:rsid w:val="00D20183"/>
    <w:rsid w:val="00D22D89"/>
    <w:rsid w:val="00D2772F"/>
    <w:rsid w:val="00D339A5"/>
    <w:rsid w:val="00D37FCF"/>
    <w:rsid w:val="00D40241"/>
    <w:rsid w:val="00D54302"/>
    <w:rsid w:val="00D55BED"/>
    <w:rsid w:val="00D63163"/>
    <w:rsid w:val="00D661E1"/>
    <w:rsid w:val="00D66735"/>
    <w:rsid w:val="00D715B3"/>
    <w:rsid w:val="00D746BD"/>
    <w:rsid w:val="00D76949"/>
    <w:rsid w:val="00D826E8"/>
    <w:rsid w:val="00D94B52"/>
    <w:rsid w:val="00D95033"/>
    <w:rsid w:val="00DA16FD"/>
    <w:rsid w:val="00DC7DFE"/>
    <w:rsid w:val="00DD023B"/>
    <w:rsid w:val="00DF737D"/>
    <w:rsid w:val="00E03345"/>
    <w:rsid w:val="00E138C3"/>
    <w:rsid w:val="00E43238"/>
    <w:rsid w:val="00E525CD"/>
    <w:rsid w:val="00E5340C"/>
    <w:rsid w:val="00E579A0"/>
    <w:rsid w:val="00EB03D6"/>
    <w:rsid w:val="00EC3215"/>
    <w:rsid w:val="00EC4FAF"/>
    <w:rsid w:val="00EE6AD1"/>
    <w:rsid w:val="00EE74D6"/>
    <w:rsid w:val="00F064C7"/>
    <w:rsid w:val="00F10017"/>
    <w:rsid w:val="00F24C51"/>
    <w:rsid w:val="00F272FE"/>
    <w:rsid w:val="00F35D9D"/>
    <w:rsid w:val="00F50AD5"/>
    <w:rsid w:val="00F52C7B"/>
    <w:rsid w:val="00F67508"/>
    <w:rsid w:val="00F75B95"/>
    <w:rsid w:val="00F81929"/>
    <w:rsid w:val="00F86711"/>
    <w:rsid w:val="00F877D8"/>
    <w:rsid w:val="00F948DE"/>
    <w:rsid w:val="00FA3ABB"/>
    <w:rsid w:val="00FA4CC8"/>
    <w:rsid w:val="00FA765E"/>
    <w:rsid w:val="00FB3ED6"/>
    <w:rsid w:val="00FC75AD"/>
    <w:rsid w:val="00FD6A46"/>
    <w:rsid w:val="00FE1381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7">
      <o:colormru v:ext="edit" colors="#009836"/>
    </o:shapedefaults>
    <o:shapelayout v:ext="edit">
      <o:idmap v:ext="edit" data="1"/>
    </o:shapelayout>
  </w:shapeDefaults>
  <w:decimalSymbol w:val=","/>
  <w:listSeparator w:val=";"/>
  <w14:docId w14:val="55CCEDA5"/>
  <w15:chartTrackingRefBased/>
  <w15:docId w15:val="{E3E35C7F-D461-4122-A7D9-FB0C8343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 w:cs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customStyle="1" w:styleId="BesuchterHyperlink">
    <w:name w:val="Besuchter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einLeerraum">
    <w:name w:val="No Spacing"/>
    <w:uiPriority w:val="1"/>
    <w:qFormat/>
    <w:rsid w:val="001C3B5F"/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8143B1"/>
    <w:pPr>
      <w:spacing w:before="100" w:beforeAutospacing="1" w:after="100" w:afterAutospacing="1"/>
    </w:pPr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EB03D6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01E01"/>
  </w:style>
  <w:style w:type="character" w:styleId="Kommentarzeichen">
    <w:name w:val="annotation reference"/>
    <w:uiPriority w:val="99"/>
    <w:semiHidden/>
    <w:unhideWhenUsed/>
    <w:rsid w:val="005C38B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38B1"/>
    <w:pPr>
      <w:spacing w:after="160"/>
    </w:pPr>
    <w:rPr>
      <w:rFonts w:ascii="Calibri" w:eastAsia="Calibri" w:hAnsi="Calibri"/>
      <w:lang w:eastAsia="en-US"/>
    </w:rPr>
  </w:style>
  <w:style w:type="character" w:customStyle="1" w:styleId="KommentartextZchn">
    <w:name w:val="Kommentartext Zchn"/>
    <w:link w:val="Kommentartext"/>
    <w:uiPriority w:val="99"/>
    <w:semiHidden/>
    <w:rsid w:val="005C38B1"/>
    <w:rPr>
      <w:rFonts w:ascii="Calibri" w:eastAsia="Calibri" w:hAnsi="Calibri"/>
      <w:lang w:eastAsia="en-US"/>
    </w:rPr>
  </w:style>
  <w:style w:type="character" w:styleId="Erwhnung">
    <w:name w:val="Mention"/>
    <w:uiPriority w:val="99"/>
    <w:unhideWhenUsed/>
    <w:rsid w:val="005C38B1"/>
    <w:rPr>
      <w:color w:val="2B579A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7E25"/>
    <w:pPr>
      <w:spacing w:after="0"/>
    </w:pPr>
    <w:rPr>
      <w:rFonts w:ascii="Times New Roman" w:eastAsia="Times New Roman" w:hAnsi="Times New Roman"/>
      <w:b/>
      <w:bCs/>
      <w:lang w:eastAsia="de-DE"/>
    </w:rPr>
  </w:style>
  <w:style w:type="character" w:customStyle="1" w:styleId="KommentarthemaZchn">
    <w:name w:val="Kommentarthema Zchn"/>
    <w:link w:val="Kommentarthema"/>
    <w:uiPriority w:val="99"/>
    <w:semiHidden/>
    <w:rsid w:val="002C7E25"/>
    <w:rPr>
      <w:rFonts w:ascii="Calibri" w:eastAsia="Calibri" w:hAnsi="Calibri"/>
      <w:b/>
      <w:bCs/>
      <w:lang w:eastAsia="en-US"/>
    </w:rPr>
  </w:style>
  <w:style w:type="character" w:styleId="NichtaufgelsteErwhnung">
    <w:name w:val="Unresolved Mention"/>
    <w:uiPriority w:val="99"/>
    <w:unhideWhenUsed/>
    <w:rsid w:val="00B10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2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1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0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 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2</Pages>
  <Words>365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administrator</dc:creator>
  <cp:keywords/>
  <cp:lastModifiedBy>Wolf, Ayla</cp:lastModifiedBy>
  <cp:revision>108</cp:revision>
  <cp:lastPrinted>2009-03-27T09:16:00Z</cp:lastPrinted>
  <dcterms:created xsi:type="dcterms:W3CDTF">2022-01-04T11:02:00Z</dcterms:created>
  <dcterms:modified xsi:type="dcterms:W3CDTF">2022-01-07T05:57:00Z</dcterms:modified>
</cp:coreProperties>
</file>