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46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ru"/>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9529BA">
                              <w:rPr>
                                <w:rFonts w:ascii="Arial" w:hAnsi="Arial" w:cs="Arial"/>
                                <w:sz w:val="16"/>
                              </w:rPr>
                              <w:t xml:space="preserve">       </w:t>
                            </w:r>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6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Июль 2018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9529BA">
                        <w:rPr>
                          <w:rFonts w:ascii="Arial" w:hAnsi="Arial" w:cs="Arial"/>
                          <w:sz w:val="16"/>
                        </w:rPr>
                        <w:t xml:space="preserve">       </w:t>
                      </w:r>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6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Июль 2018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0F6FDB" w:rsidP="00082A88">
      <w:pPr>
        <w:spacing w:line="360" w:lineRule="auto"/>
        <w:jc w:val="both"/>
        <w:rPr>
          <w:rFonts w:ascii="Arial" w:eastAsia="SimSun" w:hAnsi="Arial" w:cs="Arial"/>
          <w:b/>
          <w:color w:val="000000"/>
          <w:sz w:val="32"/>
          <w:szCs w:val="32"/>
        </w:rPr>
      </w:pPr>
      <w:r w:rsidRPr="000F6FDB">
        <w:rPr>
          <w:rFonts w:ascii="Arial" w:eastAsia="SimSun" w:hAnsi="Arial" w:cs="Arial"/>
          <w:b/>
          <w:bCs/>
          <w:color w:val="000000"/>
          <w:sz w:val="32"/>
          <w:szCs w:val="32"/>
          <w:lang w:val="ru"/>
        </w:rPr>
        <w:t>Группа Weinig начинает 10-милионный проект нового строительства в Нюртингене</w:t>
      </w:r>
      <w:r w:rsidRPr="000F6FDB">
        <w:rPr>
          <w:rFonts w:ascii="Arial" w:eastAsia="SimSun" w:hAnsi="Arial" w:cs="Arial"/>
          <w:b/>
          <w:bCs/>
          <w:color w:val="000000"/>
          <w:lang w:eastAsia="zh-CN"/>
        </w:rPr>
        <w:t xml:space="preserve"> </w:t>
      </w:r>
    </w:p>
    <w:p w:rsidR="00933509" w:rsidRDefault="00025364" w:rsidP="000301B5">
      <w:pPr>
        <w:spacing w:line="360" w:lineRule="auto"/>
        <w:rPr>
          <w:rFonts w:ascii="Arial" w:eastAsia="SimSun" w:hAnsi="Arial" w:cs="Arial"/>
          <w:sz w:val="22"/>
          <w:szCs w:val="22"/>
        </w:rPr>
      </w:pPr>
      <w:r>
        <w:rPr>
          <w:rFonts w:ascii="Arial" w:hAnsi="Arial" w:cs="Arial"/>
          <w:sz w:val="22"/>
          <w:szCs w:val="22"/>
          <w:lang w:val="ru"/>
        </w:rPr>
        <w:t xml:space="preserve">С традиционной закладки первого камня группа Weinig запустила в Нюртингене один из крупнейших строительных проектов в новейшей истории Weinig. До осени 2019 года здесь в новом виде возникнут основные здания дочерней компании Holz-Her, во что будет инвестировано 10 миллионов евро. Основным фактором для этого решения был сильный рост подразделения древесных материалов за прошедшие годы. Кроме того, в прошедшие восемь лет произошло удвоение количества сотрудников. Имевшееся здание уже не соответствовало растущим требованиям. </w:t>
      </w:r>
    </w:p>
    <w:p w:rsidR="009F460E" w:rsidRDefault="009F460E" w:rsidP="000301B5">
      <w:pPr>
        <w:spacing w:line="360" w:lineRule="auto"/>
        <w:rPr>
          <w:rFonts w:ascii="Arial" w:hAnsi="Arial" w:cs="Arial"/>
          <w:sz w:val="22"/>
          <w:szCs w:val="22"/>
        </w:rPr>
      </w:pPr>
    </w:p>
    <w:p w:rsidR="000301B5" w:rsidRDefault="006F058E" w:rsidP="000301B5">
      <w:pPr>
        <w:spacing w:line="360" w:lineRule="auto"/>
        <w:rPr>
          <w:rFonts w:ascii="Arial" w:hAnsi="Arial" w:cs="Arial"/>
          <w:sz w:val="22"/>
          <w:szCs w:val="22"/>
        </w:rPr>
      </w:pPr>
      <w:r>
        <w:rPr>
          <w:rFonts w:ascii="Arial" w:hAnsi="Arial"/>
          <w:sz w:val="22"/>
          <w:szCs w:val="22"/>
          <w:lang w:val="ru"/>
        </w:rPr>
        <w:t xml:space="preserve">Теперь это изменится: на общей площади 5800 кв. метров в промышленной зоне «Гросер Форст» будет построен обширный комплекс зданий по современной концепции. </w:t>
      </w:r>
      <w:r w:rsidR="008334A2" w:rsidRPr="008334A2">
        <w:rPr>
          <w:rFonts w:ascii="Arial" w:hAnsi="Arial"/>
          <w:sz w:val="22"/>
          <w:szCs w:val="22"/>
          <w:lang w:val="ru"/>
        </w:rPr>
        <w:t>В нем будет достаточно места, чтобы сконцентрировать отдел продаж, технический отдел, отдел разработок, сервисную службу и административные отделы под одной крышей.</w:t>
      </w:r>
      <w:r>
        <w:rPr>
          <w:rFonts w:ascii="Arial" w:hAnsi="Arial"/>
          <w:sz w:val="22"/>
          <w:szCs w:val="22"/>
          <w:lang w:val="ru"/>
        </w:rPr>
        <w:t xml:space="preserve"> Сердцем нового здания станет демонстрационный зал площадью 1400 кв. метров. Также здесь разместятся экспериментальный цех с учебными аудиториями и управленческие отделы. Основное внимание при проектировании уделялось как можно более коротким путям. В соответствии с основным архитектурным замыслом новое здание, имеющие размеры 70 x 50 метров, будет стоять на сплошной </w:t>
      </w:r>
      <w:r>
        <w:rPr>
          <w:rFonts w:ascii="Arial" w:hAnsi="Arial"/>
          <w:sz w:val="22"/>
          <w:szCs w:val="22"/>
          <w:lang w:val="ru"/>
        </w:rPr>
        <w:lastRenderedPageBreak/>
        <w:t>фундаментной плите, на которой рядом друг с другом размещены офисная часть и специальная павильонная конструкция. Их особым дизайнерским элементом станет деревянная рама, без опор простирающаяся на весь цех шириной 30 метров. Визуально такое архитектурное решение придает особую легкость всему зданию. Важный вклад в это вносит высокая прочность выбранного композитного материала. Так называемый конструкционный бук, выпускаемый под маркой BauBuche, позволяет получать гораздо более изящные конструктивные элементы, чем древесные материалы из древесины хвойных пород. Неотъемлемая часть концепции — возможность последующих изменений здания без существенных затрат. Будущие строительные проекты группы Weinig будут реализовываться согласно единым корпоративным правилам.</w:t>
      </w:r>
      <w:r>
        <w:rPr>
          <w:lang w:val="ru"/>
        </w:rPr>
        <w:t xml:space="preserve"> </w:t>
      </w:r>
      <w:r>
        <w:rPr>
          <w:rFonts w:ascii="Arial" w:hAnsi="Arial"/>
          <w:sz w:val="22"/>
          <w:szCs w:val="22"/>
          <w:lang w:val="ru"/>
        </w:rPr>
        <w:t xml:space="preserve">В новое здание въедут 85 сотрудников. При этом весь проект рассчитан на 125 сотрудников. Тем самым Holz-Her оставляет для себя достаточно возможностей, чтобы гибко реагировать на растущую потребность в площадях. Место для расширения есть и на самом участке: в ходе следующей очереди на свободном поле можно освоить и застроить дополнительную площадь от 1500 до 2500 кв. метров. </w:t>
      </w:r>
    </w:p>
    <w:p w:rsidR="000301B5" w:rsidRDefault="000301B5" w:rsidP="000301B5">
      <w:pPr>
        <w:spacing w:line="360" w:lineRule="auto"/>
        <w:rPr>
          <w:rFonts w:ascii="Arial" w:hAnsi="Arial" w:cs="Arial"/>
          <w:sz w:val="22"/>
          <w:szCs w:val="22"/>
        </w:rPr>
      </w:pPr>
    </w:p>
    <w:p w:rsidR="00025364" w:rsidRPr="00025364" w:rsidRDefault="00D30DE2" w:rsidP="00025364">
      <w:pPr>
        <w:autoSpaceDE w:val="0"/>
        <w:autoSpaceDN w:val="0"/>
        <w:adjustRightInd w:val="0"/>
        <w:spacing w:line="360" w:lineRule="auto"/>
        <w:ind w:right="-1"/>
        <w:rPr>
          <w:rFonts w:ascii="Arial" w:eastAsia="SimSun" w:hAnsi="Arial" w:cs="Arial"/>
          <w:sz w:val="22"/>
          <w:szCs w:val="22"/>
        </w:rPr>
      </w:pPr>
      <w:r>
        <w:rPr>
          <w:rFonts w:ascii="Arial" w:hAnsi="Arial" w:cs="Arial"/>
          <w:sz w:val="22"/>
          <w:szCs w:val="22"/>
          <w:lang w:val="ru"/>
        </w:rPr>
        <w:t xml:space="preserve">Закладка первого камня прошла под знаком настоящего прорыва. Всего лишь в сентябре прошлого года в австрийском Фойтсберге началось расширение тамошнего завода Holz-Her. Теперь, запустив инвестиции в месте головного офиса группа Weinig, начала уже второй перспективный проект в новейшей истории успеха компании Holz-Her, специализирующейся на оборудовании для древесных материалов. «После своего вхождения в группу Weinig в 2010 году компания Holz-Her </w:t>
      </w:r>
      <w:bookmarkStart w:id="0" w:name="_GoBack"/>
      <w:bookmarkEnd w:id="0"/>
      <w:r>
        <w:rPr>
          <w:rFonts w:ascii="Arial" w:hAnsi="Arial" w:cs="Arial"/>
          <w:sz w:val="22"/>
          <w:szCs w:val="22"/>
          <w:lang w:val="ru"/>
        </w:rPr>
        <w:t xml:space="preserve">проделала великолепный путь», — подчеркнул председатель совета директоров Вольфганг Пёшль в Нюртингене. И это развитие нашло свое отношение в нынешних крупных инвестициях. Франк Эппле, директор Holz-Her GmbH, отдельно указал на потенциал, который открывает новое строительство: </w:t>
      </w:r>
      <w:r w:rsidR="00D349D2" w:rsidRPr="00D349D2">
        <w:rPr>
          <w:rFonts w:ascii="Arial" w:hAnsi="Arial" w:cs="Arial"/>
          <w:sz w:val="22"/>
          <w:szCs w:val="22"/>
          <w:lang w:val="ru"/>
        </w:rPr>
        <w:t xml:space="preserve">«Функциональное объединение отдела продаж, возможности </w:t>
      </w:r>
      <w:r w:rsidR="00D349D2" w:rsidRPr="00D349D2">
        <w:rPr>
          <w:rFonts w:ascii="Arial" w:hAnsi="Arial" w:cs="Arial"/>
          <w:sz w:val="22"/>
          <w:szCs w:val="22"/>
          <w:lang w:val="ru"/>
        </w:rPr>
        <w:lastRenderedPageBreak/>
        <w:t>демонстрации оборудования для клиентов и административного сектора в одном здании гарантирует максимальную близость к клиентам в будущем и высочайший уровень консультирования», — считает он.</w:t>
      </w:r>
      <w:r>
        <w:rPr>
          <w:rFonts w:ascii="Arial" w:hAnsi="Arial" w:cs="Arial"/>
          <w:sz w:val="22"/>
          <w:szCs w:val="22"/>
          <w:lang w:val="ru"/>
        </w:rPr>
        <w:t xml:space="preserve"> Кроме того, по его словам, этот центр технологий и разработок наконец-то обеспечит адекватную инфраструктуру для такого инновационного предприятия, как Holz-Her. После вхождения в группу Weinig в 2010 компания Holz-Her в три раза увеличила свой оборот, доведя его до 120 млн евро в 2017 году. Однако это будет только лишь промежуточным этапом: «Сегодня положено начало для дальнейшего роста», — с уверенностью заявил Франк Эппле.  </w:t>
      </w:r>
    </w:p>
    <w:p w:rsidR="007023F8" w:rsidRDefault="007023F8" w:rsidP="00C946F1">
      <w:pPr>
        <w:autoSpaceDE w:val="0"/>
        <w:autoSpaceDN w:val="0"/>
        <w:adjustRightInd w:val="0"/>
        <w:spacing w:line="360" w:lineRule="auto"/>
        <w:ind w:right="-1"/>
        <w:rPr>
          <w:rFonts w:ascii="Arial" w:eastAsia="SimSun" w:hAnsi="Arial" w:cs="Arial"/>
          <w:sz w:val="22"/>
          <w:szCs w:val="22"/>
        </w:rPr>
      </w:pPr>
    </w:p>
    <w:p w:rsidR="007F762D"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 xml:space="preserve">Фотография: </w:t>
      </w:r>
    </w:p>
    <w:p w:rsidR="0009678C" w:rsidRPr="003279AA" w:rsidRDefault="0032239D"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Здесь строится новое главное здание Holz-Her: во время символического запуска строительства за лопаты взялись директора Weinig, руководство Holz-Her и ответственные за строительство</w:t>
      </w:r>
    </w:p>
    <w:sectPr w:rsidR="0009678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79" w:rsidRDefault="00282679">
      <w:r>
        <w:separator/>
      </w:r>
    </w:p>
  </w:endnote>
  <w:endnote w:type="continuationSeparator" w:id="0">
    <w:p w:rsidR="00282679" w:rsidRDefault="0028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346438">
    <w:pPr>
      <w:pStyle w:val="Fuzeile"/>
    </w:pPr>
    <w:r>
      <w:rPr>
        <w:noProof/>
        <w:lang w:val="ru"/>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79" w:rsidRDefault="00282679">
      <w:r>
        <w:separator/>
      </w:r>
    </w:p>
  </w:footnote>
  <w:footnote w:type="continuationSeparator" w:id="0">
    <w:p w:rsidR="00282679" w:rsidRDefault="0028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EA" w:rsidRDefault="00346438" w:rsidP="00D1526F">
    <w:pPr>
      <w:pStyle w:val="Kopfzeile"/>
      <w:tabs>
        <w:tab w:val="clear" w:pos="9072"/>
        <w:tab w:val="right" w:pos="8647"/>
        <w:tab w:val="right" w:pos="9922"/>
      </w:tabs>
      <w:ind w:right="-1560"/>
      <w:jc w:val="right"/>
    </w:pPr>
    <w:r>
      <w:rPr>
        <w:noProof/>
        <w:lang w:val="ru"/>
      </w:rPr>
      <mc:AlternateContent>
        <mc:Choice Requires="wps">
          <w:drawing>
            <wp:anchor distT="4294967295" distB="4294967295"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4F4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ru"/>
      </w:rPr>
      <mc:AlternateContent>
        <mc:Choice Requires="wps">
          <w:drawing>
            <wp:anchor distT="4294967295" distB="4294967295"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294C"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sidR="00125E8A">
      <w:rPr>
        <w:noProof/>
        <w:lang w:val="ru"/>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0" type="#_x0000_t75" style="width:3pt;height:3pt" o:bullet="t">
        <v:imagedata r:id="rId1" o:title=""/>
      </v:shape>
    </w:pict>
  </w:numPicBullet>
  <w:numPicBullet w:numPicBulletId="1">
    <w:pict>
      <v:shape id="_x0000_i1351" type="#_x0000_t75" style="width:3pt;height:3pt" o:bullet="t">
        <v:imagedata r:id="rId2" o:title=""/>
      </v:shape>
    </w:pict>
  </w:numPicBullet>
  <w:numPicBullet w:numPicBulletId="2">
    <w:pict>
      <v:shape id="_x0000_i1352"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64"/>
    <w:rsid w:val="000253E3"/>
    <w:rsid w:val="000269CE"/>
    <w:rsid w:val="000301B5"/>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0F6FDB"/>
    <w:rsid w:val="0010043C"/>
    <w:rsid w:val="0010116B"/>
    <w:rsid w:val="00106D18"/>
    <w:rsid w:val="00110FB2"/>
    <w:rsid w:val="001165B1"/>
    <w:rsid w:val="00121B05"/>
    <w:rsid w:val="001231FC"/>
    <w:rsid w:val="00124301"/>
    <w:rsid w:val="001246C5"/>
    <w:rsid w:val="00125E8A"/>
    <w:rsid w:val="001306E4"/>
    <w:rsid w:val="001328FD"/>
    <w:rsid w:val="00133C83"/>
    <w:rsid w:val="00134541"/>
    <w:rsid w:val="00137DD2"/>
    <w:rsid w:val="001400B4"/>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168EA"/>
    <w:rsid w:val="002373B4"/>
    <w:rsid w:val="00247D0F"/>
    <w:rsid w:val="0025072C"/>
    <w:rsid w:val="00255232"/>
    <w:rsid w:val="00255D17"/>
    <w:rsid w:val="002576DD"/>
    <w:rsid w:val="00264F2F"/>
    <w:rsid w:val="002653BA"/>
    <w:rsid w:val="00273809"/>
    <w:rsid w:val="00276069"/>
    <w:rsid w:val="00276C2F"/>
    <w:rsid w:val="0028086B"/>
    <w:rsid w:val="00281AEE"/>
    <w:rsid w:val="00282679"/>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0055"/>
    <w:rsid w:val="0032239D"/>
    <w:rsid w:val="00322DE8"/>
    <w:rsid w:val="003279AA"/>
    <w:rsid w:val="00333416"/>
    <w:rsid w:val="00334C66"/>
    <w:rsid w:val="00340D9E"/>
    <w:rsid w:val="00342705"/>
    <w:rsid w:val="00345C45"/>
    <w:rsid w:val="00346438"/>
    <w:rsid w:val="0034762D"/>
    <w:rsid w:val="00353723"/>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34A2"/>
    <w:rsid w:val="00834CAA"/>
    <w:rsid w:val="00836D02"/>
    <w:rsid w:val="008408A5"/>
    <w:rsid w:val="008417F8"/>
    <w:rsid w:val="00844060"/>
    <w:rsid w:val="0085783B"/>
    <w:rsid w:val="00863FB8"/>
    <w:rsid w:val="00865325"/>
    <w:rsid w:val="00866BD0"/>
    <w:rsid w:val="00871341"/>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29BA"/>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764D"/>
    <w:rsid w:val="00B449A0"/>
    <w:rsid w:val="00B4552C"/>
    <w:rsid w:val="00B5749E"/>
    <w:rsid w:val="00B61923"/>
    <w:rsid w:val="00B62627"/>
    <w:rsid w:val="00B66893"/>
    <w:rsid w:val="00B702C0"/>
    <w:rsid w:val="00B7265B"/>
    <w:rsid w:val="00B80F67"/>
    <w:rsid w:val="00B81535"/>
    <w:rsid w:val="00B8331B"/>
    <w:rsid w:val="00B87F54"/>
    <w:rsid w:val="00B9213F"/>
    <w:rsid w:val="00B9326C"/>
    <w:rsid w:val="00B96DF4"/>
    <w:rsid w:val="00BA0404"/>
    <w:rsid w:val="00BB124D"/>
    <w:rsid w:val="00BB2F2F"/>
    <w:rsid w:val="00BB5563"/>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40EF"/>
    <w:rsid w:val="00D264D6"/>
    <w:rsid w:val="00D30DE2"/>
    <w:rsid w:val="00D349D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7C6A"/>
    <w:rsid w:val="00D90C8E"/>
    <w:rsid w:val="00DA09A8"/>
    <w:rsid w:val="00DA1F38"/>
    <w:rsid w:val="00DB2924"/>
    <w:rsid w:val="00DB499B"/>
    <w:rsid w:val="00DB7763"/>
    <w:rsid w:val="00DC4995"/>
    <w:rsid w:val="00DC5EE7"/>
    <w:rsid w:val="00DC768B"/>
    <w:rsid w:val="00DD023B"/>
    <w:rsid w:val="00DD4266"/>
    <w:rsid w:val="00DE0D10"/>
    <w:rsid w:val="00DE45B5"/>
    <w:rsid w:val="00DE6FA2"/>
    <w:rsid w:val="00DF4233"/>
    <w:rsid w:val="00DF737D"/>
    <w:rsid w:val="00E0050D"/>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5A8D"/>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004A4393"/>
  <w15:docId w15:val="{F8CABD15-16C7-462B-AE6D-DBE03CE5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E45B2-F3E0-47B8-82BF-018C0E02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559</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cp:revision>
  <cp:lastPrinted>2009-03-27T09:16:00Z</cp:lastPrinted>
  <dcterms:created xsi:type="dcterms:W3CDTF">2018-08-08T05:39:00Z</dcterms:created>
  <dcterms:modified xsi:type="dcterms:W3CDTF">2018-08-08T05:39:00Z</dcterms:modified>
</cp:coreProperties>
</file>